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56A35" w14:textId="225F6487" w:rsidR="00C84325" w:rsidRPr="00893D0A" w:rsidRDefault="0081010D" w:rsidP="00D8065F">
      <w:pPr>
        <w:spacing w:line="276" w:lineRule="auto"/>
        <w:jc w:val="center"/>
        <w:rPr>
          <w:rFonts w:ascii="Arial" w:hAnsi="Arial" w:cs="Arial"/>
          <w:b/>
          <w:bCs/>
          <w:sz w:val="32"/>
          <w:szCs w:val="32"/>
        </w:rPr>
      </w:pPr>
      <w:r w:rsidRPr="00893D0A">
        <w:rPr>
          <w:rFonts w:ascii="Arial" w:hAnsi="Arial" w:cs="Arial"/>
          <w:b/>
          <w:bCs/>
          <w:sz w:val="32"/>
          <w:szCs w:val="32"/>
        </w:rPr>
        <w:t>Draft protocol for a systematic evidence map of sex hormone biosynthesis in Mollusca</w:t>
      </w:r>
      <w:r w:rsidR="00893D0A" w:rsidRPr="00893D0A">
        <w:rPr>
          <w:rFonts w:ascii="Arial" w:hAnsi="Arial" w:cs="Arial"/>
          <w:b/>
          <w:bCs/>
          <w:sz w:val="32"/>
          <w:szCs w:val="32"/>
        </w:rPr>
        <w:t>: Risk of Bias</w:t>
      </w:r>
      <w:r w:rsidR="00364AA0">
        <w:rPr>
          <w:rFonts w:ascii="Arial" w:hAnsi="Arial" w:cs="Arial"/>
          <w:b/>
          <w:bCs/>
          <w:sz w:val="32"/>
          <w:szCs w:val="32"/>
        </w:rPr>
        <w:t xml:space="preserve"> tool</w:t>
      </w:r>
      <w:r w:rsidR="00893D0A" w:rsidRPr="00893D0A">
        <w:rPr>
          <w:rFonts w:ascii="Arial" w:hAnsi="Arial" w:cs="Arial"/>
          <w:b/>
          <w:bCs/>
          <w:sz w:val="32"/>
          <w:szCs w:val="32"/>
        </w:rPr>
        <w:t xml:space="preserve"> guidelines</w:t>
      </w:r>
      <w:r w:rsidR="00652C7F" w:rsidRPr="00893D0A">
        <w:rPr>
          <w:rFonts w:ascii="Arial" w:hAnsi="Arial" w:cs="Arial"/>
          <w:sz w:val="32"/>
          <w:szCs w:val="32"/>
        </w:rPr>
        <w:br/>
      </w:r>
    </w:p>
    <w:p w14:paraId="1A2CF041" w14:textId="34B6E282" w:rsidR="00AF56DD" w:rsidRPr="008B5FCC" w:rsidRDefault="00821E56" w:rsidP="008B5FCC">
      <w:pPr>
        <w:spacing w:line="360" w:lineRule="auto"/>
        <w:jc w:val="both"/>
        <w:rPr>
          <w:rFonts w:ascii="Arial" w:hAnsi="Arial" w:cs="Arial"/>
        </w:rPr>
      </w:pPr>
      <w:r w:rsidRPr="008B5FCC">
        <w:rPr>
          <w:rFonts w:ascii="Arial" w:hAnsi="Arial" w:cs="Arial"/>
        </w:rPr>
        <w:t xml:space="preserve">For </w:t>
      </w:r>
      <w:r w:rsidR="00C84325" w:rsidRPr="008B5FCC">
        <w:rPr>
          <w:rFonts w:ascii="Arial" w:hAnsi="Arial" w:cs="Arial"/>
        </w:rPr>
        <w:t>the majority of</w:t>
      </w:r>
      <w:r w:rsidR="00310D5D">
        <w:rPr>
          <w:rFonts w:ascii="Arial" w:hAnsi="Arial" w:cs="Arial"/>
        </w:rPr>
        <w:t xml:space="preserve"> the</w:t>
      </w:r>
      <w:r w:rsidRPr="008B5FCC">
        <w:rPr>
          <w:rFonts w:ascii="Arial" w:hAnsi="Arial" w:cs="Arial"/>
        </w:rPr>
        <w:t xml:space="preserve"> criteria, “</w:t>
      </w:r>
      <w:proofErr w:type="spellStart"/>
      <w:r w:rsidR="00566151" w:rsidRPr="008B5FCC">
        <w:rPr>
          <w:rFonts w:ascii="Arial" w:hAnsi="Arial" w:cs="Arial"/>
        </w:rPr>
        <w:t>Jadad</w:t>
      </w:r>
      <w:proofErr w:type="spellEnd"/>
      <w:r w:rsidR="00566151" w:rsidRPr="008B5FCC">
        <w:rPr>
          <w:rFonts w:ascii="Arial" w:hAnsi="Arial" w:cs="Arial"/>
        </w:rPr>
        <w:t xml:space="preserve"> scoring</w:t>
      </w:r>
      <w:r w:rsidRPr="008B5FCC">
        <w:rPr>
          <w:rFonts w:ascii="Arial" w:hAnsi="Arial" w:cs="Arial"/>
        </w:rPr>
        <w:t>”</w:t>
      </w:r>
      <w:r w:rsidR="0029222D" w:rsidRPr="008B5FCC">
        <w:rPr>
          <w:rFonts w:ascii="Arial" w:hAnsi="Arial" w:cs="Arial"/>
        </w:rPr>
        <w:t xml:space="preserve"> (</w:t>
      </w:r>
      <w:r w:rsidRPr="008B5FCC">
        <w:rPr>
          <w:rFonts w:ascii="Arial" w:hAnsi="Arial" w:cs="Arial"/>
        </w:rPr>
        <w:t>which is</w:t>
      </w:r>
      <w:r w:rsidR="00E6614B">
        <w:rPr>
          <w:rFonts w:ascii="Arial" w:hAnsi="Arial" w:cs="Arial"/>
        </w:rPr>
        <w:t xml:space="preserve"> usually</w:t>
      </w:r>
      <w:r w:rsidRPr="008B5FCC">
        <w:rPr>
          <w:rFonts w:ascii="Arial" w:hAnsi="Arial" w:cs="Arial"/>
        </w:rPr>
        <w:t xml:space="preserve"> used to assess the quality of </w:t>
      </w:r>
      <w:r w:rsidR="00E6614B">
        <w:rPr>
          <w:rFonts w:ascii="Arial" w:hAnsi="Arial" w:cs="Arial"/>
        </w:rPr>
        <w:t>evidence</w:t>
      </w:r>
      <w:r w:rsidRPr="008B5FCC">
        <w:rPr>
          <w:rFonts w:ascii="Arial" w:hAnsi="Arial" w:cs="Arial"/>
        </w:rPr>
        <w:t xml:space="preserve"> in clinical trials</w:t>
      </w:r>
      <w:r w:rsidR="0029222D" w:rsidRPr="008B5FCC">
        <w:rPr>
          <w:rFonts w:ascii="Arial" w:hAnsi="Arial" w:cs="Arial"/>
        </w:rPr>
        <w:t>)</w:t>
      </w:r>
      <w:r w:rsidRPr="008B5FCC">
        <w:rPr>
          <w:rFonts w:ascii="Arial" w:hAnsi="Arial" w:cs="Arial"/>
        </w:rPr>
        <w:t xml:space="preserve"> was taken into consideration</w:t>
      </w:r>
      <w:r w:rsidR="005C21F9" w:rsidRPr="008B5FCC">
        <w:rPr>
          <w:rFonts w:ascii="Arial" w:hAnsi="Arial" w:cs="Arial"/>
        </w:rPr>
        <w:t xml:space="preserve"> </w:t>
      </w:r>
      <w:r w:rsidR="005C21F9" w:rsidRPr="008B5FCC">
        <w:rPr>
          <w:rFonts w:ascii="Arial" w:hAnsi="Arial" w:cs="Arial"/>
        </w:rPr>
        <w:fldChar w:fldCharType="begin" w:fldLock="1"/>
      </w:r>
      <w:r w:rsidR="0097708B" w:rsidRPr="008B5FCC">
        <w:rPr>
          <w:rFonts w:ascii="Arial" w:hAnsi="Arial" w:cs="Arial"/>
        </w:rPr>
        <w:instrText>ADDIN CSL_CITATION {"citationItems":[{"id":"ITEM-1","itemData":{"DOI":"10.1016/0197-2456(95)00134-4","ISSN":"01972456","PMID":"8721797","abstract":"It has been suggested that the quality of clinical trials should be assessed by blinded raters to limit the risk of introducing bias into meta-analyses and systematic reviews, and into the peer-review process. There is very little evidence in the literature to substantiate this. This study describes the development of an instrument to assess the quality of reports of randomized clinical trials (RCTs) in pain research and its use to determine the effect of rater blinding on the assessments of quality. A multidisciplinary panel of six judges produced an initial version of the instrument. Fourteen raters from three different backgrounds assessed the quality of 36 research reports in pain research, selected from three different samples. Seven were allocated randomly to perform the assessments under blind conditions. The final version of the instrument included three items. These items were scored consistently by all the raters regardless of background and could discriminate between reports from the different samples. Blind assessments produced significantly lower and more consistent scores than open assessments. The implications of this finding for systematic reviews, meta-analytic research and the peer-review process are discussed.","author":[{"dropping-particle":"","family":"Jadad","given":"Alejandro R.","non-dropping-particle":"","parse-names":false,"suffix":""},{"dropping-particle":"","family":"Moore","given":"R. Andrew","non-dropping-particle":"","parse-names":false,"suffix":""},{"dropping-particle":"","family":"Carroll","given":"Dawn","non-dropping-particle":"","parse-names":false,"suffix":""},{"dropping-particle":"","family":"Jenkinson","given":"Crispin","non-dropping-particle":"","parse-names":false,"suffix":""},{"dropping-particle":"","family":"Reynolds","given":"D. John M.","non-dropping-particle":"","parse-names":false,"suffix":""},{"dropping-particle":"","family":"Gavaghan","given":"David J.","non-dropping-particle":"","parse-names":false,"suffix":""},{"dropping-particle":"","family":"McQuay","given":"Henry J.","non-dropping-particle":"","parse-names":false,"suffix":""}],"container-title":"Controlled Clinical Trials","id":"ITEM-1","issue":"1","issued":{"date-parts":[["1996"]]},"page":"1-12","title":"Assessing the quality of reports of randomized clinical trials: Is blinding necessary?","type":"article-journal","volume":"17"},"uris":["http://www.mendeley.com/documents/?uuid=94c754d4-7f2b-4979-9da0-cbfcab509583"]}],"mendeley":{"formattedCitation":"(Jadad et al., 1996)","plainTextFormattedCitation":"(Jadad et al., 1996)","previouslyFormattedCitation":"(Jadad et al., 1996)"},"properties":{"noteIndex":0},"schema":"https://github.com/citation-style-language/schema/raw/master/csl-citation.json"}</w:instrText>
      </w:r>
      <w:r w:rsidR="005C21F9" w:rsidRPr="008B5FCC">
        <w:rPr>
          <w:rFonts w:ascii="Arial" w:hAnsi="Arial" w:cs="Arial"/>
        </w:rPr>
        <w:fldChar w:fldCharType="separate"/>
      </w:r>
      <w:r w:rsidR="005C21F9" w:rsidRPr="008B5FCC">
        <w:rPr>
          <w:rFonts w:ascii="Arial" w:hAnsi="Arial" w:cs="Arial"/>
          <w:noProof/>
        </w:rPr>
        <w:t>(Jadad et al., 1996)</w:t>
      </w:r>
      <w:r w:rsidR="005C21F9" w:rsidRPr="008B5FCC">
        <w:rPr>
          <w:rFonts w:ascii="Arial" w:hAnsi="Arial" w:cs="Arial"/>
        </w:rPr>
        <w:fldChar w:fldCharType="end"/>
      </w:r>
      <w:r w:rsidR="00F35917" w:rsidRPr="008B5FCC">
        <w:rPr>
          <w:rFonts w:ascii="Arial" w:hAnsi="Arial" w:cs="Arial"/>
        </w:rPr>
        <w:t xml:space="preserve">. </w:t>
      </w:r>
      <w:r w:rsidR="000456B9" w:rsidRPr="008B5FCC">
        <w:rPr>
          <w:rFonts w:ascii="Arial" w:hAnsi="Arial" w:cs="Arial"/>
        </w:rPr>
        <w:t xml:space="preserve">This framework should be used as </w:t>
      </w:r>
      <w:r w:rsidR="00E6614B">
        <w:rPr>
          <w:rFonts w:ascii="Arial" w:hAnsi="Arial" w:cs="Arial"/>
        </w:rPr>
        <w:t>guidance</w:t>
      </w:r>
      <w:r w:rsidR="000456B9" w:rsidRPr="008B5FCC">
        <w:rPr>
          <w:rFonts w:ascii="Arial" w:hAnsi="Arial" w:cs="Arial"/>
        </w:rPr>
        <w:t xml:space="preserve"> to systematically assess the quality of evidence/risk of bias of included studies in the</w:t>
      </w:r>
      <w:r w:rsidR="00723AD5">
        <w:rPr>
          <w:rFonts w:ascii="Arial" w:hAnsi="Arial" w:cs="Arial"/>
        </w:rPr>
        <w:t xml:space="preserve"> systematic</w:t>
      </w:r>
      <w:r w:rsidR="006312B1">
        <w:rPr>
          <w:rFonts w:ascii="Arial" w:hAnsi="Arial" w:cs="Arial"/>
        </w:rPr>
        <w:t xml:space="preserve"> evidence map</w:t>
      </w:r>
      <w:r w:rsidR="000456B9" w:rsidRPr="008B5FCC">
        <w:rPr>
          <w:rFonts w:ascii="Arial" w:hAnsi="Arial" w:cs="Arial"/>
        </w:rPr>
        <w:t xml:space="preserve">. </w:t>
      </w:r>
    </w:p>
    <w:p w14:paraId="60E22FEB" w14:textId="4523A097" w:rsidR="00B26A70" w:rsidRPr="008B5FCC" w:rsidRDefault="00E6085E" w:rsidP="008B5FCC">
      <w:pPr>
        <w:spacing w:line="360" w:lineRule="auto"/>
        <w:jc w:val="both"/>
        <w:rPr>
          <w:rFonts w:ascii="Arial" w:hAnsi="Arial" w:cs="Arial"/>
          <w:b/>
          <w:bCs/>
          <w:u w:val="single"/>
        </w:rPr>
      </w:pPr>
      <w:r w:rsidRPr="008B5FCC">
        <w:rPr>
          <w:rFonts w:ascii="Arial" w:hAnsi="Arial" w:cs="Arial"/>
          <w:b/>
          <w:bCs/>
          <w:u w:val="single"/>
        </w:rPr>
        <w:t>Sex</w:t>
      </w:r>
      <w:r w:rsidR="00057799" w:rsidRPr="008B5FCC">
        <w:rPr>
          <w:rFonts w:ascii="Arial" w:hAnsi="Arial" w:cs="Arial"/>
          <w:b/>
          <w:bCs/>
          <w:u w:val="single"/>
        </w:rPr>
        <w:t xml:space="preserve"> hormones:</w:t>
      </w:r>
    </w:p>
    <w:p w14:paraId="64257E2D" w14:textId="0240638B" w:rsidR="000D3F9E" w:rsidRPr="008B5FCC" w:rsidRDefault="00B26A70" w:rsidP="008B5FCC">
      <w:pPr>
        <w:pStyle w:val="ListParagraph"/>
        <w:numPr>
          <w:ilvl w:val="0"/>
          <w:numId w:val="7"/>
        </w:numPr>
        <w:spacing w:line="360" w:lineRule="auto"/>
        <w:jc w:val="both"/>
        <w:rPr>
          <w:rFonts w:ascii="Arial" w:hAnsi="Arial" w:cs="Arial"/>
        </w:rPr>
      </w:pPr>
      <w:r w:rsidRPr="008B5FCC">
        <w:rPr>
          <w:rFonts w:ascii="Arial" w:hAnsi="Arial" w:cs="Arial"/>
        </w:rPr>
        <w:t>Identification of steroid hormones in molluscs:</w:t>
      </w:r>
    </w:p>
    <w:p w14:paraId="604A6221" w14:textId="619D7B9A" w:rsidR="006C5864" w:rsidRPr="008B5FCC" w:rsidRDefault="000D3F9E" w:rsidP="008B5FCC">
      <w:pPr>
        <w:spacing w:line="360" w:lineRule="auto"/>
        <w:jc w:val="both"/>
        <w:rPr>
          <w:rFonts w:ascii="Arial" w:hAnsi="Arial" w:cs="Arial"/>
        </w:rPr>
      </w:pPr>
      <w:r w:rsidRPr="008B5FCC">
        <w:rPr>
          <w:rFonts w:ascii="Arial" w:hAnsi="Arial" w:cs="Arial"/>
        </w:rPr>
        <w:t>The quantification of vertebrate-type sex steroids that exist in low concentrations in molluscs can be achieved using a range of techniques including chemical analysis (</w:t>
      </w:r>
      <w:proofErr w:type="gramStart"/>
      <w:r w:rsidRPr="008B5FCC">
        <w:rPr>
          <w:rFonts w:ascii="Arial" w:hAnsi="Arial" w:cs="Arial"/>
        </w:rPr>
        <w:t>e.g.</w:t>
      </w:r>
      <w:proofErr w:type="gramEnd"/>
      <w:r w:rsidRPr="008B5FCC">
        <w:rPr>
          <w:rFonts w:ascii="Arial" w:hAnsi="Arial" w:cs="Arial"/>
        </w:rPr>
        <w:t xml:space="preserve"> GC-MS or LC-MS) or immunoassays (e.g. ELISA, RIA). The use of radioimmunoassay (RIA) for the measurement of steroid concentrations are considered rapid, inexpensive, and generally exhibit satisfactory precision </w:t>
      </w:r>
      <w:r w:rsidRPr="008B5FCC">
        <w:rPr>
          <w:rFonts w:ascii="Arial" w:hAnsi="Arial" w:cs="Arial"/>
        </w:rPr>
        <w:fldChar w:fldCharType="begin" w:fldLock="1"/>
      </w:r>
      <w:r w:rsidRPr="008B5FCC">
        <w:rPr>
          <w:rFonts w:ascii="Arial" w:hAnsi="Arial" w:cs="Arial"/>
        </w:rPr>
        <w:instrText>ADDIN CSL_CITATION {"citationItems":[{"id":"ITEM-1","itemData":{"DOI":"10.1016/j.jchromb.2010.03.046","ISSN":"15700232","abstract":"The role of vertebrate-like sex-steroids (testosterone, T, progesterone, P, and 17β-estradiol, E2) in molluscs is still debated, but they could represent potential biomarkers of endocrine disruption. A radioimmunoassay (RIA) and a liquid chromatography coupled to tandem mass spectrometry (LC-MS/MS) methods have been developed and compared to measure their levels in a gastropod snail Potamopyrgus antipodarum. Both methods showed a good reproducibility despite the complex matrix and the very low levels of vertebrate-like sex-steroids. Only T and P were detected using the LC-MS/MS method, while the RIA method reached lower detection limits and enabled the detection of all three steroids. Results indicated that T and P were mainly present as unconjugated forms. Both methods were compared in the analysis of snails exposed to waste water treatment plant effluents and led to the same conclusions concerning the modulation of steroids levels. Moreover, they both were in agreement concerning T measurements. On the other hand, LC-MS/MS appeared to be more suitable when analyzing P levels due to a low sensitivity of the RIA method. As E2 was not measured using the LC-MS/MS method because of a higher detection limit compared to the other steroids, the results obtained with the RIA method should be interpreted with caution. LC-MS/MS remains the gold standard for sex-steroid determinations, however a relevant and alternative method based on RIA was developed, requiring fewer organisms. RIA seems a promising method as a screening tool for experimental use, allowing comparison of sex-steroid levels in the mudsnail both in laboratory and in field experiments. © 2010 Elsevier B.V. All rights reserved.","author":[{"dropping-particle":"","family":"Gust","given":"M.","non-dropping-particle":"","parse-names":false,"suffix":""},{"dropping-particle":"","family":"Vulliet","given":"E.","non-dropping-particle":"","parse-names":false,"suffix":""},{"dropping-particle":"","family":"Giroud","given":"B.","non-dropping-particle":"","parse-names":false,"suffix":""},{"dropping-particle":"","family":"Garnier","given":"F.","non-dropping-particle":"","parse-names":false,"suffix":""},{"dropping-particle":"","family":"Couturier","given":"S.","non-dropping-particle":"","parse-names":false,"suffix":""},{"dropping-particle":"","family":"Garric","given":"J.","non-dropping-particle":"","parse-names":false,"suffix":""},{"dropping-particle":"","family":"Buronfosse","given":"T.","non-dropping-particle":"","parse-names":false,"suffix":""}],"container-title":"Journal of Chromatography B: Analytical Technologies in the Biomedical and Life Sciences","id":"ITEM-1","issue":"19","issued":{"date-parts":[["2010"]]},"page":"1487-1492","publisher":"Elsevier B.V.","title":"Development, validation and comparison of LC-MS/MS and RIA methods for quantification of vertebrates-like sex-steroids in prosobranch molluscs","type":"article-journal","volume":"878"},"uris":["http://www.mendeley.com/documents/?uuid=4cda0a37-b320-43ed-88b3-e574f7c0c257"]}],"mendeley":{"formattedCitation":"(Gust et al., 2010)","plainTextFormattedCitation":"(Gust et al., 2010)","previouslyFormattedCitation":"(Gust et al., 2010)"},"properties":{"noteIndex":0},"schema":"https://github.com/citation-style-language/schema/raw/master/csl-citation.json"}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(Gust et al., 2010)</w:t>
      </w:r>
      <w:r w:rsidRPr="008B5FCC">
        <w:rPr>
          <w:rFonts w:ascii="Arial" w:hAnsi="Arial" w:cs="Arial"/>
        </w:rPr>
        <w:fldChar w:fldCharType="end"/>
      </w:r>
      <w:r w:rsidRPr="008B5FCC">
        <w:rPr>
          <w:rFonts w:ascii="Arial" w:hAnsi="Arial" w:cs="Arial"/>
        </w:rPr>
        <w:t xml:space="preserve">. On the other hand, GC-MS and LC-MS are considered the “gold standard” for identifying and quantifying sex steroid hormones </w:t>
      </w:r>
      <w:r w:rsidRPr="008B5FCC">
        <w:rPr>
          <w:rFonts w:ascii="Arial" w:hAnsi="Arial" w:cs="Arial"/>
        </w:rPr>
        <w:fldChar w:fldCharType="begin" w:fldLock="1"/>
      </w:r>
      <w:r w:rsidRPr="008B5FCC">
        <w:rPr>
          <w:rFonts w:ascii="Arial" w:hAnsi="Arial" w:cs="Arial"/>
        </w:rPr>
        <w:instrText>ADDIN CSL_CITATION {"citationItems":[{"id":"ITEM-1","itemData":{"DOI":"10.1016/j.jchromb.2010.03.046","ISSN":"15700232","abstract":"The role of vertebrate-like sex-steroids (testosterone, T, progesterone, P, and 17β-estradiol, E2) in molluscs is still debated, but they could represent potential biomarkers of endocrine disruption. A radioimmunoassay (RIA) and a liquid chromatography coupled to tandem mass spectrometry (LC-MS/MS) methods have been developed and compared to measure their levels in a gastropod snail Potamopyrgus antipodarum. Both methods showed a good reproducibility despite the complex matrix and the very low levels of vertebrate-like sex-steroids. Only T and P were detected using the LC-MS/MS method, while the RIA method reached lower detection limits and enabled the detection of all three steroids. Results indicated that T and P were mainly present as unconjugated forms. Both methods were compared in the analysis of snails exposed to waste water treatment plant effluents and led to the same conclusions concerning the modulation of steroids levels. Moreover, they both were in agreement concerning T measurements. On the other hand, LC-MS/MS appeared to be more suitable when analyzing P levels due to a low sensitivity of the RIA method. As E2 was not measured using the LC-MS/MS method because of a higher detection limit compared to the other steroids, the results obtained with the RIA method should be interpreted with caution. LC-MS/MS remains the gold standard for sex-steroid determinations, however a relevant and alternative method based on RIA was developed, requiring fewer organisms. RIA seems a promising method as a screening tool for experimental use, allowing comparison of sex-steroid levels in the mudsnail both in laboratory and in field experiments. © 2010 Elsevier B.V. All rights reserved.","author":[{"dropping-particle":"","family":"Gust","given":"M.","non-dropping-particle":"","parse-names":false,"suffix":""},{"dropping-particle":"","family":"Vulliet","given":"E.","non-dropping-particle":"","parse-names":false,"suffix":""},{"dropping-particle":"","family":"Giroud","given":"B.","non-dropping-particle":"","parse-names":false,"suffix":""},{"dropping-particle":"","family":"Garnier","given":"F.","non-dropping-particle":"","parse-names":false,"suffix":""},{"dropping-particle":"","family":"Couturier","given":"S.","non-dropping-particle":"","parse-names":false,"suffix":""},{"dropping-particle":"","family":"Garric","given":"J.","non-dropping-particle":"","parse-names":false,"suffix":""},{"dropping-particle":"","family":"Buronfosse","given":"T.","non-dropping-particle":"","parse-names":false,"suffix":""}],"container-title":"Journal of Chromatography B: Analytical Technologies in the Biomedical and Life Sciences","id":"ITEM-1","issue":"19","issued":{"date-parts":[["2010"]]},"page":"1487-1492","publisher":"Elsevier B.V.","title":"Development, validation and comparison of LC-MS/MS and RIA methods for quantification of vertebrates-like sex-steroids in prosobranch molluscs","type":"article-journal","volume":"878"},"uris":["http://www.mendeley.com/documents/?uuid=4cda0a37-b320-43ed-88b3-e574f7c0c257"]}],"mendeley":{"formattedCitation":"(Gust et al., 2010)","plainTextFormattedCitation":"(Gust et al., 2010)","previouslyFormattedCitation":"(Gust et al., 2010)"},"properties":{"noteIndex":0},"schema":"https://github.com/citation-style-language/schema/raw/master/csl-citation.json"}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(Gust et al., 2010)</w:t>
      </w:r>
      <w:r w:rsidRPr="008B5FCC">
        <w:rPr>
          <w:rFonts w:ascii="Arial" w:hAnsi="Arial" w:cs="Arial"/>
        </w:rPr>
        <w:fldChar w:fldCharType="end"/>
      </w:r>
      <w:r w:rsidRPr="008B5FCC">
        <w:rPr>
          <w:rFonts w:ascii="Arial" w:hAnsi="Arial" w:cs="Arial"/>
        </w:rPr>
        <w:t xml:space="preserve">. Specifically, the LC-MS method has been shown to exhibit significant satisfactory precision in identifying low concentrations of steroids </w:t>
      </w:r>
      <w:r w:rsidRPr="008B5FCC">
        <w:rPr>
          <w:rFonts w:ascii="Arial" w:hAnsi="Arial" w:cs="Arial"/>
        </w:rPr>
        <w:fldChar w:fldCharType="begin" w:fldLock="1"/>
      </w:r>
      <w:r w:rsidRPr="008B5FCC">
        <w:rPr>
          <w:rFonts w:ascii="Arial" w:hAnsi="Arial" w:cs="Arial"/>
        </w:rPr>
        <w:instrText>ADDIN CSL_CITATION {"citationItems":[{"id":"ITEM-1","itemData":{"DOI":"10.1038/nprot.2007.176","ISSN":"17542189","PMID":"17545972","abstract":"The ability to measure estrogen metabolites (EMs) quantitatively is important for investigating their individual roles in cancer screening, treatment and prevention, as well as in a host of other hormone-related disorders. In this protocol we describe a method that is capable of quantitating 15 distinct EMs in urine. Endogenous EMs are quantitatively measured using a liquid chromatography - tandem mass spectrometry method in which the spectrometer operates in a selected reaction monitoring mode. This method is capable of quantifying estrone and its 2-, and 4- and 16-hydroxy and its 2-, 4-methoxy derivatives, and 2-hydroxyestrone-3-methyl ether; 17-estradiol and its 2-hydroxy, and 2- and 4-methoxy derivates, and estriol, 16-epiestriol, 17-epiestriol, and 16-ketoestradiol. The method requires only 0.5 ml of urine and approximately 60 urine samples can be quantitatively analyzed per week.","author":[{"dropping-particle":"","family":"Xu","given":"Xia","non-dropping-particle":"","parse-names":false,"suffix":""},{"dropping-particle":"","family":"Keefer","given":"Larry K.","non-dropping-particle":"","parse-names":false,"suffix":""},{"dropping-particle":"","family":"Ziegler","given":"Regina G.","non-dropping-particle":"","parse-names":false,"suffix":""},{"dropping-particle":"","family":"Veenstra","given":"Timothy D.","non-dropping-particle":"","parse-names":false,"suffix":""}],"container-title":"Nature Protocols","id":"ITEM-1","issue":"6","issued":{"date-parts":[["2007","6","24"]]},"page":"1350-1355","publisher":"Nature Publishing Group","title":"A liquid chromatography - Mass spectrometry method for the quantitative analysis of urinary endogenous estrogen metabolites","type":"article-journal","volume":"2"},"uris":["http://www.mendeley.com/documents/?uuid=bd16b958-5f28-324a-ba87-929a8a5d680d"]}],"mendeley":{"formattedCitation":"(Xu et al., 2007)","plainTextFormattedCitation":"(Xu et al., 2007)","previouslyFormattedCitation":"(Xu et al., 2007)"},"properties":{"noteIndex":0},"schema":"https://github.com/citation-style-language/schema/raw/master/csl-citation.json"}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(Xu et al., 2007)</w:t>
      </w:r>
      <w:r w:rsidRPr="008B5FCC">
        <w:rPr>
          <w:rFonts w:ascii="Arial" w:hAnsi="Arial" w:cs="Arial"/>
        </w:rPr>
        <w:fldChar w:fldCharType="end"/>
      </w:r>
      <w:r w:rsidRPr="008B5FCC">
        <w:rPr>
          <w:rFonts w:ascii="Arial" w:hAnsi="Arial" w:cs="Arial"/>
        </w:rPr>
        <w:t xml:space="preserve">, while allowing the concurring detection of various compounds or metabolites in a single assay </w:t>
      </w:r>
      <w:r w:rsidRPr="008B5FCC">
        <w:rPr>
          <w:rFonts w:ascii="Arial" w:hAnsi="Arial" w:cs="Arial"/>
        </w:rPr>
        <w:fldChar w:fldCharType="begin" w:fldLock="1"/>
      </w:r>
      <w:r w:rsidRPr="008B5FCC">
        <w:rPr>
          <w:rFonts w:ascii="Arial" w:hAnsi="Arial" w:cs="Arial"/>
        </w:rPr>
        <w:instrText>ADDIN CSL_CITATION {"citationItems":[{"id":"ITEM-1","itemData":{"DOI":"10.1016/j.jchromb.2010.03.046","ISSN":"15700232","abstract":"The role of vertebrate-like sex-steroids (testosterone, T, progesterone, P, and 17β-estradiol, E2) in molluscs is still debated, but they could represent potential biomarkers of endocrine disruption. A radioimmunoassay (RIA) and a liquid chromatography coupled to tandem mass spectrometry (LC-MS/MS) methods have been developed and compared to measure their levels in a gastropod snail Potamopyrgus antipodarum. Both methods showed a good reproducibility despite the complex matrix and the very low levels of vertebrate-like sex-steroids. Only T and P were detected using the LC-MS/MS method, while the RIA method reached lower detection limits and enabled the detection of all three steroids. Results indicated that T and P were mainly present as unconjugated forms. Both methods were compared in the analysis of snails exposed to waste water treatment plant effluents and led to the same conclusions concerning the modulation of steroids levels. Moreover, they both were in agreement concerning T measurements. On the other hand, LC-MS/MS appeared to be more suitable when analyzing P levels due to a low sensitivity of the RIA method. As E2 was not measured using the LC-MS/MS method because of a higher detection limit compared to the other steroids, the results obtained with the RIA method should be interpreted with caution. LC-MS/MS remains the gold standard for sex-steroid determinations, however a relevant and alternative method based on RIA was developed, requiring fewer organisms. RIA seems a promising method as a screening tool for experimental use, allowing comparison of sex-steroid levels in the mudsnail both in laboratory and in field experiments. © 2010 Elsevier B.V. All rights reserved.","author":[{"dropping-particle":"","family":"Gust","given":"M.","non-dropping-particle":"","parse-names":false,"suffix":""},{"dropping-particle":"","family":"Vulliet","given":"E.","non-dropping-particle":"","parse-names":false,"suffix":""},{"dropping-particle":"","family":"Giroud","given":"B.","non-dropping-particle":"","parse-names":false,"suffix":""},{"dropping-particle":"","family":"Garnier","given":"F.","non-dropping-particle":"","parse-names":false,"suffix":""},{"dropping-particle":"","family":"Couturier","given":"S.","non-dropping-particle":"","parse-names":false,"suffix":""},{"dropping-particle":"","family":"Garric","given":"J.","non-dropping-particle":"","parse-names":false,"suffix":""},{"dropping-particle":"","family":"Buronfosse","given":"T.","non-dropping-particle":"","parse-names":false,"suffix":""}],"container-title":"Journal of Chromatography B: Analytical Technologies in the Biomedical and Life Sciences","id":"ITEM-1","issue":"19","issued":{"date-parts":[["2010"]]},"page":"1487-1492","publisher":"Elsevier B.V.","title":"Development, validation and comparison of LC-MS/MS and RIA methods for quantification of vertebrates-like sex-steroids in prosobranch molluscs","type":"article-journal","volume":"878"},"uris":["http://www.mendeley.com/documents/?uuid=4cda0a37-b320-43ed-88b3-e574f7c0c257"]}],"mendeley":{"formattedCitation":"(Gust et al., 2010)","plainTextFormattedCitation":"(Gust et al., 2010)","previouslyFormattedCitation":"(Gust et al., 2010)"},"properties":{"noteIndex":0},"schema":"https://github.com/citation-style-language/schema/raw/master/csl-citation.json"}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(Gust et al., 2010)</w:t>
      </w:r>
      <w:r w:rsidRPr="008B5FCC">
        <w:rPr>
          <w:rFonts w:ascii="Arial" w:hAnsi="Arial" w:cs="Arial"/>
        </w:rPr>
        <w:fldChar w:fldCharType="end"/>
      </w:r>
      <w:r w:rsidRPr="008B5FCC">
        <w:rPr>
          <w:rFonts w:ascii="Arial" w:hAnsi="Arial" w:cs="Arial"/>
        </w:rPr>
        <w:t xml:space="preserve">. Whereas, RIA-based methods have been shown to exhibit limited accuracy and specificity in identifying steroids as a result of cross-reactivity or interferences with the organic matrix (in which steroids are present) </w:t>
      </w:r>
      <w:r w:rsidRPr="008B5FCC">
        <w:rPr>
          <w:rFonts w:ascii="Arial" w:hAnsi="Arial" w:cs="Arial"/>
        </w:rPr>
        <w:fldChar w:fldCharType="begin" w:fldLock="1"/>
      </w:r>
      <w:r w:rsidRPr="008B5FCC">
        <w:rPr>
          <w:rFonts w:ascii="Arial" w:hAnsi="Arial" w:cs="Arial"/>
        </w:rPr>
        <w:instrText>ADDIN CSL_CITATION {"citationItems":[{"id":"ITEM-1","itemData":{"DOI":"10.1016/j.jchromb.2010.03.046","ISSN":"15700232","abstract":"The role of vertebrate-like sex-steroids (testosterone, T, progesterone, P, and 17β-estradiol, E2) in molluscs is still debated, but they could represent potential biomarkers of endocrine disruption. A radioimmunoassay (RIA) and a liquid chromatography coupled to tandem mass spectrometry (LC-MS/MS) methods have been developed and compared to measure their levels in a gastropod snail Potamopyrgus antipodarum. Both methods showed a good reproducibility despite the complex matrix and the very low levels of vertebrate-like sex-steroids. Only T and P were detected using the LC-MS/MS method, while the RIA method reached lower detection limits and enabled the detection of all three steroids. Results indicated that T and P were mainly present as unconjugated forms. Both methods were compared in the analysis of snails exposed to waste water treatment plant effluents and led to the same conclusions concerning the modulation of steroids levels. Moreover, they both were in agreement concerning T measurements. On the other hand, LC-MS/MS appeared to be more suitable when analyzing P levels due to a low sensitivity of the RIA method. As E2 was not measured using the LC-MS/MS method because of a higher detection limit compared to the other steroids, the results obtained with the RIA method should be interpreted with caution. LC-MS/MS remains the gold standard for sex-steroid determinations, however a relevant and alternative method based on RIA was developed, requiring fewer organisms. RIA seems a promising method as a screening tool for experimental use, allowing comparison of sex-steroid levels in the mudsnail both in laboratory and in field experiments. © 2010 Elsevier B.V. All rights reserved.","author":[{"dropping-particle":"","family":"Gust","given":"M.","non-dropping-particle":"","parse-names":false,"suffix":""},{"dropping-particle":"","family":"Vulliet","given":"E.","non-dropping-particle":"","parse-names":false,"suffix":""},{"dropping-particle":"","family":"Giroud","given":"B.","non-dropping-particle":"","parse-names":false,"suffix":""},{"dropping-particle":"","family":"Garnier","given":"F.","non-dropping-particle":"","parse-names":false,"suffix":""},{"dropping-particle":"","family":"Couturier","given":"S.","non-dropping-particle":"","parse-names":false,"suffix":""},{"dropping-particle":"","family":"Garric","given":"J.","non-dropping-particle":"","parse-names":false,"suffix":""},{"dropping-particle":"","family":"Buronfosse","given":"T.","non-dropping-particle":"","parse-names":false,"suffix":""}],"container-title":"Journal of Chromatography B: Analytical Technologies in the Biomedical and Life Sciences","id":"ITEM-1","issue":"19","issued":{"date-parts":[["2010"]]},"page":"1487-1492","publisher":"Elsevier B.V.","title":"Development, validation and comparison of LC-MS/MS and RIA methods for quantification of vertebrates-like sex-steroids in prosobranch molluscs","type":"article-journal","volume":"878"},"uris":["http://www.mendeley.com/documents/?uuid=4cda0a37-b320-43ed-88b3-e574f7c0c257"]}],"mendeley":{"formattedCitation":"(Gust et al., 2010)","plainTextFormattedCitation":"(Gust et al., 2010)","previouslyFormattedCitation":"(Gust et al., 2010)"},"properties":{"noteIndex":0},"schema":"https://github.com/citation-style-language/schema/raw/master/csl-citation.json"}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(Gust et al., 2010)</w:t>
      </w:r>
      <w:r w:rsidRPr="008B5FCC">
        <w:rPr>
          <w:rFonts w:ascii="Arial" w:hAnsi="Arial" w:cs="Arial"/>
        </w:rPr>
        <w:fldChar w:fldCharType="end"/>
      </w:r>
      <w:r w:rsidRPr="008B5FCC">
        <w:rPr>
          <w:rFonts w:ascii="Arial" w:hAnsi="Arial" w:cs="Arial"/>
        </w:rPr>
        <w:t xml:space="preserve">. Thus, evidence from studies that have used immunoassays (instead of an analytical chemistry technique) to detect sex hormones in molluscan tissues should be assessed with caution. </w:t>
      </w:r>
    </w:p>
    <w:p w14:paraId="0DB80B4C" w14:textId="6226F3AC" w:rsidR="006C5864" w:rsidRPr="006C5864" w:rsidRDefault="00BA454A" w:rsidP="006C5864">
      <w:pPr>
        <w:pStyle w:val="ListParagraph"/>
        <w:numPr>
          <w:ilvl w:val="0"/>
          <w:numId w:val="21"/>
        </w:numPr>
        <w:spacing w:line="360" w:lineRule="auto"/>
        <w:jc w:val="both"/>
        <w:rPr>
          <w:rFonts w:ascii="Arial" w:hAnsi="Arial" w:cs="Arial"/>
        </w:rPr>
      </w:pPr>
      <w:r w:rsidRPr="008B5FCC">
        <w:rPr>
          <w:rFonts w:ascii="Arial" w:hAnsi="Arial" w:cs="Arial"/>
        </w:rPr>
        <w:t>How appropriate/accurate was the method used to identify steroid hormones at the target tissues?</w:t>
      </w:r>
    </w:p>
    <w:p w14:paraId="33290B6C" w14:textId="040EA22F" w:rsidR="00D8065F" w:rsidRDefault="006C5864" w:rsidP="008C2ACD">
      <w:pPr>
        <w:spacing w:line="276" w:lineRule="auto"/>
        <w:ind w:left="360"/>
        <w:rPr>
          <w:rFonts w:ascii="Arial" w:hAnsi="Arial" w:cs="Arial"/>
        </w:rPr>
      </w:pPr>
      <w:sdt>
        <w:sdtPr>
          <w:rPr>
            <w:rFonts w:ascii="Arial" w:eastAsia="MS Gothic" w:hAnsi="Arial" w:cs="Arial"/>
          </w:rPr>
          <w:id w:val="303817084"/>
          <w14:checkbox>
            <w14:checked w14:val="0"/>
            <w14:checkedState w14:val="2612" w14:font="MS Gothic"/>
            <w14:uncheckedState w14:val="2610" w14:font="MS Gothic"/>
          </w14:checkbox>
        </w:sdtPr>
        <w:sdtEndPr/>
        <w:sdtContent>
          <w:r w:rsidR="00D8065F">
            <w:rPr>
              <w:rFonts w:ascii="MS Gothic" w:eastAsia="MS Gothic" w:hAnsi="MS Gothic" w:cs="Arial" w:hint="eastAsia"/>
            </w:rPr>
            <w:t>☐</w:t>
          </w:r>
        </w:sdtContent>
      </w:sdt>
      <w:r w:rsidR="00D8065F" w:rsidRPr="008B5FCC">
        <w:rPr>
          <w:rFonts w:ascii="Arial" w:hAnsi="Arial" w:cs="Arial"/>
        </w:rPr>
        <w:t xml:space="preserve">  </w:t>
      </w:r>
      <w:r w:rsidR="00D8065F">
        <w:rPr>
          <w:rFonts w:ascii="Arial" w:hAnsi="Arial" w:cs="Arial"/>
        </w:rPr>
        <w:t xml:space="preserve">Fulfilled </w:t>
      </w:r>
      <w:r w:rsidR="00D8065F">
        <w:rPr>
          <w:rFonts w:ascii="Arial" w:hAnsi="Arial" w:cs="Arial"/>
        </w:rPr>
        <w:br/>
      </w:r>
      <w:sdt>
        <w:sdtPr>
          <w:rPr>
            <w:rFonts w:ascii="Arial" w:eastAsia="MS Gothic" w:hAnsi="Arial" w:cs="Arial"/>
          </w:rPr>
          <w:id w:val="1162589258"/>
          <w14:checkbox>
            <w14:checked w14:val="0"/>
            <w14:checkedState w14:val="2612" w14:font="MS Gothic"/>
            <w14:uncheckedState w14:val="2610" w14:font="MS Gothic"/>
          </w14:checkbox>
        </w:sdtPr>
        <w:sdtEndPr/>
        <w:sdtContent>
          <w:r w:rsidR="00D8065F">
            <w:rPr>
              <w:rFonts w:ascii="MS Gothic" w:eastAsia="MS Gothic" w:hAnsi="MS Gothic" w:cs="Arial" w:hint="eastAsia"/>
            </w:rPr>
            <w:t>☐</w:t>
          </w:r>
        </w:sdtContent>
      </w:sdt>
      <w:r w:rsidR="00D8065F" w:rsidRPr="008B5FCC">
        <w:rPr>
          <w:rFonts w:ascii="Arial" w:hAnsi="Arial" w:cs="Arial"/>
        </w:rPr>
        <w:t xml:space="preserve">  </w:t>
      </w:r>
      <w:r w:rsidR="00D8065F">
        <w:rPr>
          <w:rFonts w:ascii="Arial" w:hAnsi="Arial" w:cs="Arial"/>
        </w:rPr>
        <w:t>Partially fulfilled</w:t>
      </w:r>
      <w:r w:rsidR="00D8065F">
        <w:rPr>
          <w:rFonts w:ascii="Arial" w:hAnsi="Arial" w:cs="Arial"/>
        </w:rPr>
        <w:br/>
      </w:r>
      <w:sdt>
        <w:sdtPr>
          <w:rPr>
            <w:rFonts w:ascii="Arial" w:eastAsia="MS Gothic" w:hAnsi="Arial" w:cs="Arial"/>
          </w:rPr>
          <w:id w:val="1717465345"/>
          <w14:checkbox>
            <w14:checked w14:val="0"/>
            <w14:checkedState w14:val="2612" w14:font="MS Gothic"/>
            <w14:uncheckedState w14:val="2610" w14:font="MS Gothic"/>
          </w14:checkbox>
        </w:sdtPr>
        <w:sdtEndPr/>
        <w:sdtContent>
          <w:r w:rsidR="00D8065F">
            <w:rPr>
              <w:rFonts w:ascii="MS Gothic" w:eastAsia="MS Gothic" w:hAnsi="MS Gothic" w:cs="Arial" w:hint="eastAsia"/>
            </w:rPr>
            <w:t>☐</w:t>
          </w:r>
        </w:sdtContent>
      </w:sdt>
      <w:r w:rsidR="00D8065F" w:rsidRPr="008B5FCC">
        <w:rPr>
          <w:rFonts w:ascii="Arial" w:hAnsi="Arial" w:cs="Arial"/>
        </w:rPr>
        <w:t xml:space="preserve">  </w:t>
      </w:r>
      <w:r w:rsidR="00D8065F">
        <w:rPr>
          <w:rFonts w:ascii="Arial" w:hAnsi="Arial" w:cs="Arial"/>
        </w:rPr>
        <w:t>Not fulfilled</w:t>
      </w:r>
      <w:r w:rsidR="00D8065F">
        <w:rPr>
          <w:rFonts w:ascii="Arial" w:hAnsi="Arial" w:cs="Arial"/>
        </w:rPr>
        <w:br/>
      </w:r>
      <w:sdt>
        <w:sdtPr>
          <w:rPr>
            <w:rFonts w:ascii="Arial" w:eastAsia="MS Gothic" w:hAnsi="Arial" w:cs="Arial"/>
          </w:rPr>
          <w:id w:val="262959928"/>
          <w14:checkbox>
            <w14:checked w14:val="0"/>
            <w14:checkedState w14:val="2612" w14:font="MS Gothic"/>
            <w14:uncheckedState w14:val="2610" w14:font="MS Gothic"/>
          </w14:checkbox>
        </w:sdtPr>
        <w:sdtEndPr/>
        <w:sdtContent>
          <w:r w:rsidR="00D8065F">
            <w:rPr>
              <w:rFonts w:ascii="MS Gothic" w:eastAsia="MS Gothic" w:hAnsi="MS Gothic" w:cs="Arial" w:hint="eastAsia"/>
            </w:rPr>
            <w:t>☐</w:t>
          </w:r>
        </w:sdtContent>
      </w:sdt>
      <w:r w:rsidR="00D8065F" w:rsidRPr="008B5FCC">
        <w:rPr>
          <w:rFonts w:ascii="Arial" w:hAnsi="Arial" w:cs="Arial"/>
        </w:rPr>
        <w:t xml:space="preserve">  </w:t>
      </w:r>
      <w:r w:rsidR="00D8065F">
        <w:rPr>
          <w:rFonts w:ascii="Arial" w:hAnsi="Arial" w:cs="Arial"/>
        </w:rPr>
        <w:t xml:space="preserve">Not </w:t>
      </w:r>
      <w:proofErr w:type="gramStart"/>
      <w:r w:rsidR="00D8065F">
        <w:rPr>
          <w:rFonts w:ascii="Arial" w:hAnsi="Arial" w:cs="Arial"/>
        </w:rPr>
        <w:t>determined</w:t>
      </w:r>
      <w:proofErr w:type="gramEnd"/>
    </w:p>
    <w:p w14:paraId="407099D3" w14:textId="40A055C7" w:rsidR="00D8065F" w:rsidRDefault="00D8065F" w:rsidP="00D8065F">
      <w:pPr>
        <w:spacing w:line="276" w:lineRule="auto"/>
        <w:rPr>
          <w:rFonts w:ascii="Arial" w:hAnsi="Arial" w:cs="Arial"/>
        </w:rPr>
      </w:pPr>
    </w:p>
    <w:p w14:paraId="620778C0" w14:textId="53B04633" w:rsidR="00364AA0" w:rsidRDefault="00364AA0" w:rsidP="00D8065F">
      <w:pPr>
        <w:spacing w:line="276" w:lineRule="auto"/>
        <w:rPr>
          <w:rFonts w:ascii="Arial" w:hAnsi="Arial" w:cs="Arial"/>
        </w:rPr>
      </w:pPr>
    </w:p>
    <w:p w14:paraId="2C81F44F" w14:textId="77777777" w:rsidR="00364AA0" w:rsidRPr="00D8065F" w:rsidRDefault="00364AA0" w:rsidP="00D8065F">
      <w:pPr>
        <w:spacing w:line="276" w:lineRule="auto"/>
        <w:rPr>
          <w:rFonts w:ascii="Arial" w:hAnsi="Arial" w:cs="Arial"/>
        </w:rPr>
      </w:pPr>
    </w:p>
    <w:p w14:paraId="097C661B" w14:textId="77777777" w:rsidR="00AF6089" w:rsidRPr="008B5FCC" w:rsidRDefault="00A71D92" w:rsidP="008B5FCC">
      <w:pPr>
        <w:pStyle w:val="ListParagraph"/>
        <w:numPr>
          <w:ilvl w:val="0"/>
          <w:numId w:val="7"/>
        </w:numPr>
        <w:spacing w:line="360" w:lineRule="auto"/>
        <w:jc w:val="both"/>
        <w:rPr>
          <w:rFonts w:ascii="Arial" w:hAnsi="Arial" w:cs="Arial"/>
        </w:rPr>
      </w:pPr>
      <w:r w:rsidRPr="008B5FCC">
        <w:rPr>
          <w:rFonts w:ascii="Arial" w:hAnsi="Arial" w:cs="Arial"/>
        </w:rPr>
        <w:lastRenderedPageBreak/>
        <w:t>Activation of a nuclear hormone receptor</w:t>
      </w:r>
      <w:r w:rsidR="0008629D" w:rsidRPr="008B5FCC">
        <w:rPr>
          <w:rFonts w:ascii="Arial" w:hAnsi="Arial" w:cs="Arial"/>
        </w:rPr>
        <w:t>:</w:t>
      </w:r>
    </w:p>
    <w:p w14:paraId="55193316" w14:textId="422CAB14" w:rsidR="006C5864" w:rsidRPr="008B5FCC" w:rsidRDefault="00AF6089" w:rsidP="008B5FCC">
      <w:pPr>
        <w:spacing w:line="360" w:lineRule="auto"/>
        <w:jc w:val="both"/>
        <w:rPr>
          <w:rFonts w:ascii="Arial" w:hAnsi="Arial" w:cs="Arial"/>
        </w:rPr>
      </w:pPr>
      <w:r w:rsidRPr="008B5FCC">
        <w:rPr>
          <w:rFonts w:ascii="Arial" w:hAnsi="Arial" w:cs="Arial"/>
        </w:rPr>
        <w:t>Within cells, steroid hormones bind to steroid hormone receptors (</w:t>
      </w:r>
      <w:proofErr w:type="gramStart"/>
      <w:r w:rsidRPr="008B5FCC">
        <w:rPr>
          <w:rFonts w:ascii="Arial" w:hAnsi="Arial" w:cs="Arial"/>
        </w:rPr>
        <w:t>i.e.</w:t>
      </w:r>
      <w:proofErr w:type="gramEnd"/>
      <w:r w:rsidRPr="008B5FCC">
        <w:rPr>
          <w:rFonts w:ascii="Arial" w:hAnsi="Arial" w:cs="Arial"/>
        </w:rPr>
        <w:t xml:space="preserve"> nuclear hormone receptors), which are essential mediators of steroid hormone action. Steroid hormone receptors are activated by the binding of a ligand to influence the expression of target genes </w:t>
      </w:r>
      <w:r w:rsidRPr="008B5FCC">
        <w:rPr>
          <w:rFonts w:ascii="Arial" w:hAnsi="Arial" w:cs="Arial"/>
        </w:rPr>
        <w:fldChar w:fldCharType="begin" w:fldLock="1"/>
      </w:r>
      <w:r w:rsidRPr="008B5FCC">
        <w:rPr>
          <w:rFonts w:ascii="Arial" w:hAnsi="Arial" w:cs="Arial"/>
        </w:rPr>
        <w:instrText>ADDIN CSL_CITATION {"citationItems":[{"id":"ITEM-1","itemData":{"DOI":"10.1093/humupd/6.3.225","ISSN":"13554786","PMID":"10874567","abstract":"Steroid hormones (SHs) are lipophilic molecules derived from cholesterol and synthesized in the adrenal cortex (glucocorticoids, mineralocorticoids, and adrenal androgens), the testes (testicular androgens, oestrogen), and the ovary and placenta (oestrogens and progestagens or progestins). SHs reach their target cells via the blood, where they are bound to carrier proteins, and because of their lipophilic nature pass the cell membrane by simple diffusion. Within the target cells SHs bind to steroid hormone receptors (SHRs), the key mediators of SH action, which are complexed to chaperones, e.g. heat shock protein 90 (Hsp90), that help other proteins to fold and prevent aggregation. SHRs are intracellular transcription factors that can be activated, among other possibilities, by the specific and high affinity binding of ligand to exert positive or negative effects on the expression of target genes. Binding of agonistic or antagonistic ligands leads to different allosteric changes of SHRs making them competent to exert positive or negative effects on the expression of target genes by different mechanisms. (i) After dissociation of chaperones the liganded SHR-complexes can bind to chromatin organized DNA sequences in the vicinity of target genes, termed hormone response elements (HREs). The HRE-recruited hormone-receptor-complexes are then able to initiate chromatin remodelling and to relay activating or repressing signals to the target genes transcription machinery; (ii) through protein-protein interactions with other sequence-specific transcription factors, SHRs can also regulate the activity of many genes that are switched on, for instance, during stress or an inflammatory response; (iii) the SH response can also be integrated in the intracellular signalling network via cross-talk of SHRs with signal transduction pathways that transmit extracellular signals via membrane receptors and activation of protein kinase cascades to nuclear transcription factors that activate various target genes. By all these different mechanisms SHRs modulate numerous and specific responses in a large variety of cells, whereby their particular effect depends on the physiological, cellular and genetic context.","author":[{"dropping-particle":"","family":"Beato","given":"M.","non-dropping-particle":"","parse-names":false,"suffix":""},{"dropping-particle":"","family":"Klug","given":"J.","non-dropping-particle":"","parse-names":false,"suffix":""}],"container-title":"Human Reproduction Update","id":"ITEM-1","issue":"3","issued":{"date-parts":[["2000"]]},"page":"225-236","title":"Steroid hormone receptors: An update","type":"article-journal","volume":"6"},"uris":["http://www.mendeley.com/documents/?uuid=1fe06442-4b04-42c8-88d7-cdfef0111241"]}],"mendeley":{"formattedCitation":"(Beato &amp; Klug, 2000)","plainTextFormattedCitation":"(Beato &amp; Klug, 2000)","previouslyFormattedCitation":"(Beato &amp; Klug, 2000)"},"properties":{"noteIndex":0},"schema":"https://github.com/citation-style-language/schema/raw/master/csl-citation.json"}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(Beato &amp; Klug, 2000)</w:t>
      </w:r>
      <w:r w:rsidRPr="008B5FCC">
        <w:rPr>
          <w:rFonts w:ascii="Arial" w:hAnsi="Arial" w:cs="Arial"/>
        </w:rPr>
        <w:fldChar w:fldCharType="end"/>
      </w:r>
      <w:r w:rsidRPr="008B5FCC">
        <w:rPr>
          <w:rFonts w:ascii="Arial" w:hAnsi="Arial" w:cs="Arial"/>
        </w:rPr>
        <w:t xml:space="preserve">. It is through this mechanism that steroid hormones can turn genes on or off. Thus, to verify whether a steroid hormone is of endogenous synthesis (and thereby has a functional role) in molluscs, there should also be some evidence of interaction of this hormone with a nuclear hormone receptor. </w:t>
      </w:r>
    </w:p>
    <w:p w14:paraId="577E7D0F" w14:textId="5707C2A0" w:rsidR="00302F8C" w:rsidRDefault="00F42274" w:rsidP="008B5FCC">
      <w:pPr>
        <w:pStyle w:val="ListParagraph"/>
        <w:numPr>
          <w:ilvl w:val="0"/>
          <w:numId w:val="12"/>
        </w:numPr>
        <w:spacing w:line="360" w:lineRule="auto"/>
        <w:jc w:val="both"/>
        <w:rPr>
          <w:rFonts w:ascii="Arial" w:hAnsi="Arial" w:cs="Arial"/>
        </w:rPr>
      </w:pPr>
      <w:r w:rsidRPr="008B5FCC">
        <w:rPr>
          <w:rFonts w:ascii="Arial" w:hAnsi="Arial" w:cs="Arial"/>
        </w:rPr>
        <w:t>Did the MOA of steroid(s) involve an interaction with a tissue-specific NR binding site (</w:t>
      </w:r>
      <w:proofErr w:type="gramStart"/>
      <w:r w:rsidRPr="008B5FCC">
        <w:rPr>
          <w:rFonts w:ascii="Arial" w:hAnsi="Arial" w:cs="Arial"/>
        </w:rPr>
        <w:t>i.e.</w:t>
      </w:r>
      <w:proofErr w:type="gramEnd"/>
      <w:r w:rsidRPr="008B5FCC">
        <w:rPr>
          <w:rFonts w:ascii="Arial" w:hAnsi="Arial" w:cs="Arial"/>
        </w:rPr>
        <w:t xml:space="preserve"> activation of a NR at the target tissue)?</w:t>
      </w:r>
    </w:p>
    <w:p w14:paraId="7B8628DA" w14:textId="46ABFA0D" w:rsidR="00D8065F" w:rsidRDefault="00D8065F" w:rsidP="008C2ACD">
      <w:pPr>
        <w:spacing w:line="276" w:lineRule="auto"/>
        <w:ind w:left="284"/>
        <w:rPr>
          <w:rFonts w:ascii="Arial" w:hAnsi="Arial" w:cs="Arial"/>
        </w:rPr>
      </w:pPr>
      <w:bookmarkStart w:id="0" w:name="_Hlk76997025"/>
      <w:proofErr w:type="gramStart"/>
      <w:r w:rsidRPr="00D8065F">
        <w:rPr>
          <w:rFonts w:ascii="Segoe UI Symbol" w:hAnsi="Segoe UI Symbol" w:cs="Segoe UI Symbol"/>
        </w:rPr>
        <w:t>☐</w:t>
      </w:r>
      <w:r w:rsidRPr="00D8065F">
        <w:rPr>
          <w:rFonts w:ascii="Arial" w:hAnsi="Arial" w:cs="Arial"/>
        </w:rPr>
        <w:t xml:space="preserve">  Fulfilled</w:t>
      </w:r>
      <w:proofErr w:type="gramEnd"/>
      <w:r w:rsidRPr="00D8065F">
        <w:rPr>
          <w:rFonts w:ascii="Arial" w:hAnsi="Arial" w:cs="Arial"/>
        </w:rPr>
        <w:t xml:space="preserve"> </w:t>
      </w:r>
      <w:r>
        <w:rPr>
          <w:rFonts w:ascii="Arial" w:hAnsi="Arial" w:cs="Arial"/>
        </w:rPr>
        <w:br/>
      </w:r>
      <w:r w:rsidRPr="00D8065F">
        <w:rPr>
          <w:rFonts w:ascii="Segoe UI Symbol" w:hAnsi="Segoe UI Symbol" w:cs="Segoe UI Symbol"/>
        </w:rPr>
        <w:t>☐</w:t>
      </w:r>
      <w:r w:rsidRPr="00D8065F">
        <w:rPr>
          <w:rFonts w:ascii="Arial" w:hAnsi="Arial" w:cs="Arial"/>
        </w:rPr>
        <w:t xml:space="preserve">  Partially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determined</w:t>
      </w:r>
      <w:bookmarkEnd w:id="0"/>
    </w:p>
    <w:p w14:paraId="517BF092" w14:textId="77777777" w:rsidR="006C5864" w:rsidRPr="00D8065F" w:rsidRDefault="006C5864" w:rsidP="008C2ACD">
      <w:pPr>
        <w:spacing w:line="276" w:lineRule="auto"/>
        <w:ind w:left="284"/>
        <w:rPr>
          <w:rFonts w:ascii="Arial" w:hAnsi="Arial" w:cs="Arial"/>
        </w:rPr>
      </w:pPr>
    </w:p>
    <w:p w14:paraId="15734B36" w14:textId="4F6D4D19" w:rsidR="00F42274" w:rsidRPr="008B5FCC" w:rsidRDefault="00E40FE9" w:rsidP="008B5FCC">
      <w:pPr>
        <w:pStyle w:val="ListParagraph"/>
        <w:numPr>
          <w:ilvl w:val="0"/>
          <w:numId w:val="7"/>
        </w:numPr>
        <w:spacing w:line="360" w:lineRule="auto"/>
        <w:jc w:val="both"/>
        <w:rPr>
          <w:rFonts w:ascii="Arial" w:hAnsi="Arial" w:cs="Arial"/>
        </w:rPr>
      </w:pPr>
      <w:r w:rsidRPr="008B5FCC">
        <w:rPr>
          <w:rFonts w:ascii="Arial" w:hAnsi="Arial" w:cs="Arial"/>
        </w:rPr>
        <w:t>Level of repeatability:</w:t>
      </w:r>
    </w:p>
    <w:p w14:paraId="5B07C814" w14:textId="295F5167" w:rsidR="006C5864" w:rsidRPr="008B5FCC" w:rsidRDefault="00CC32B5" w:rsidP="008B5FCC">
      <w:pPr>
        <w:spacing w:line="360" w:lineRule="auto"/>
        <w:jc w:val="both"/>
        <w:rPr>
          <w:rFonts w:ascii="Arial" w:hAnsi="Arial" w:cs="Arial"/>
        </w:rPr>
      </w:pPr>
      <w:r w:rsidRPr="008B5FCC">
        <w:rPr>
          <w:rFonts w:ascii="Arial" w:hAnsi="Arial" w:cs="Arial"/>
        </w:rPr>
        <w:t>Repeatability is th</w:t>
      </w:r>
      <w:r w:rsidR="005B6324" w:rsidRPr="008B5FCC">
        <w:rPr>
          <w:rFonts w:ascii="Arial" w:hAnsi="Arial" w:cs="Arial"/>
        </w:rPr>
        <w:t>e variation that exists within the measurements of a</w:t>
      </w:r>
      <w:r w:rsidR="00154F8B" w:rsidRPr="008B5FCC">
        <w:rPr>
          <w:rFonts w:ascii="Arial" w:hAnsi="Arial" w:cs="Arial"/>
        </w:rPr>
        <w:t xml:space="preserve">n experimental until </w:t>
      </w:r>
      <w:r w:rsidR="00A80051" w:rsidRPr="008B5FCC">
        <w:rPr>
          <w:rFonts w:ascii="Arial" w:hAnsi="Arial" w:cs="Arial"/>
        </w:rPr>
        <w:t xml:space="preserve">that were obtained </w:t>
      </w:r>
      <w:r w:rsidR="00154F8B" w:rsidRPr="008B5FCC">
        <w:rPr>
          <w:rFonts w:ascii="Arial" w:hAnsi="Arial" w:cs="Arial"/>
        </w:rPr>
        <w:t>using the same measuring technique or equipment</w:t>
      </w:r>
      <w:r w:rsidR="00A80051" w:rsidRPr="008B5FCC">
        <w:rPr>
          <w:rFonts w:ascii="Arial" w:hAnsi="Arial" w:cs="Arial"/>
        </w:rPr>
        <w:t xml:space="preserve">. </w:t>
      </w:r>
      <w:r w:rsidR="008674AA" w:rsidRPr="008B5FCC">
        <w:rPr>
          <w:rFonts w:ascii="Arial" w:hAnsi="Arial" w:cs="Arial"/>
        </w:rPr>
        <w:t>In measuring steroid hormone concentrations, repeatability can be expressed as the standard error or standard deviation of the mean. Thus, the smaller the level of repeatability, the more representative the measurement will be of the overall population</w:t>
      </w:r>
      <w:r w:rsidR="008225F8" w:rsidRPr="008B5FCC">
        <w:rPr>
          <w:rFonts w:ascii="Arial" w:hAnsi="Arial" w:cs="Arial"/>
        </w:rPr>
        <w:t xml:space="preserve">. </w:t>
      </w:r>
      <w:r w:rsidR="00BF3D14" w:rsidRPr="008B5FCC">
        <w:rPr>
          <w:rFonts w:ascii="Arial" w:hAnsi="Arial" w:cs="Arial"/>
        </w:rPr>
        <w:t>The smaller the level of repeatability (</w:t>
      </w:r>
      <w:proofErr w:type="gramStart"/>
      <w:r w:rsidR="00BF3D14" w:rsidRPr="008B5FCC">
        <w:rPr>
          <w:rFonts w:ascii="Arial" w:hAnsi="Arial" w:cs="Arial"/>
        </w:rPr>
        <w:t>e.g.</w:t>
      </w:r>
      <w:proofErr w:type="gramEnd"/>
      <w:r w:rsidR="00BF3D14" w:rsidRPr="008B5FCC">
        <w:rPr>
          <w:rFonts w:ascii="Arial" w:hAnsi="Arial" w:cs="Arial"/>
        </w:rPr>
        <w:t xml:space="preserve"> standard error, standard deviation), the more representative the measurement will be of the overall population. </w:t>
      </w:r>
      <w:r w:rsidR="00616BD4" w:rsidRPr="008B5FCC">
        <w:rPr>
          <w:rFonts w:ascii="Arial" w:hAnsi="Arial" w:cs="Arial"/>
        </w:rPr>
        <w:t>The level of repeatability for</w:t>
      </w:r>
      <w:r w:rsidR="006D07C7" w:rsidRPr="008B5FCC">
        <w:rPr>
          <w:rFonts w:ascii="Arial" w:hAnsi="Arial" w:cs="Arial"/>
        </w:rPr>
        <w:t xml:space="preserve"> the observed</w:t>
      </w:r>
      <w:r w:rsidR="00616BD4" w:rsidRPr="008B5FCC">
        <w:rPr>
          <w:rFonts w:ascii="Arial" w:hAnsi="Arial" w:cs="Arial"/>
        </w:rPr>
        <w:t xml:space="preserve"> </w:t>
      </w:r>
      <w:r w:rsidR="006D07C7" w:rsidRPr="008B5FCC">
        <w:rPr>
          <w:rFonts w:ascii="Arial" w:hAnsi="Arial" w:cs="Arial"/>
        </w:rPr>
        <w:t>steroid concentrations</w:t>
      </w:r>
      <w:r w:rsidR="00616BD4" w:rsidRPr="008B5FCC">
        <w:rPr>
          <w:rFonts w:ascii="Arial" w:hAnsi="Arial" w:cs="Arial"/>
        </w:rPr>
        <w:t xml:space="preserve"> will be </w:t>
      </w:r>
      <w:r w:rsidR="00D00FF6" w:rsidRPr="008B5FCC">
        <w:rPr>
          <w:rFonts w:ascii="Arial" w:hAnsi="Arial" w:cs="Arial"/>
        </w:rPr>
        <w:t>determined comparatively</w:t>
      </w:r>
      <w:r w:rsidR="00616BD4" w:rsidRPr="008B5FCC">
        <w:rPr>
          <w:rFonts w:ascii="Arial" w:hAnsi="Arial" w:cs="Arial"/>
        </w:rPr>
        <w:t xml:space="preserve"> according to the overall </w:t>
      </w:r>
      <w:r w:rsidR="00A76C64" w:rsidRPr="008B5FCC">
        <w:rPr>
          <w:rFonts w:ascii="Arial" w:hAnsi="Arial" w:cs="Arial"/>
        </w:rPr>
        <w:t xml:space="preserve">body </w:t>
      </w:r>
      <w:r w:rsidR="00616BD4" w:rsidRPr="008B5FCC">
        <w:rPr>
          <w:rFonts w:ascii="Arial" w:hAnsi="Arial" w:cs="Arial"/>
        </w:rPr>
        <w:t>evidence</w:t>
      </w:r>
      <w:r w:rsidR="00A76C64" w:rsidRPr="008B5FCC">
        <w:rPr>
          <w:rFonts w:ascii="Arial" w:hAnsi="Arial" w:cs="Arial"/>
        </w:rPr>
        <w:t xml:space="preserve">. </w:t>
      </w:r>
    </w:p>
    <w:p w14:paraId="2B01133A" w14:textId="2FD85089" w:rsidR="006C5864" w:rsidRPr="006C5864" w:rsidRDefault="008C6B4E" w:rsidP="006C5864">
      <w:pPr>
        <w:pStyle w:val="ListParagraph"/>
        <w:numPr>
          <w:ilvl w:val="0"/>
          <w:numId w:val="13"/>
        </w:numPr>
        <w:spacing w:line="360" w:lineRule="auto"/>
        <w:jc w:val="both"/>
        <w:rPr>
          <w:rFonts w:ascii="Arial" w:hAnsi="Arial" w:cs="Arial"/>
        </w:rPr>
      </w:pPr>
      <w:r w:rsidRPr="008B5FCC">
        <w:rPr>
          <w:rFonts w:ascii="Arial" w:hAnsi="Arial" w:cs="Arial"/>
        </w:rPr>
        <w:t>What was the level of repeatability?</w:t>
      </w:r>
    </w:p>
    <w:p w14:paraId="0427C66B" w14:textId="48C29956" w:rsidR="00D8065F" w:rsidRDefault="006C5864" w:rsidP="008C2ACD">
      <w:pPr>
        <w:spacing w:line="276" w:lineRule="auto"/>
        <w:ind w:left="284"/>
        <w:rPr>
          <w:rFonts w:ascii="Arial" w:hAnsi="Arial" w:cs="Arial"/>
        </w:rPr>
      </w:pPr>
      <w:sdt>
        <w:sdtPr>
          <w:rPr>
            <w:rFonts w:ascii="Arial" w:eastAsia="MS Gothic" w:hAnsi="Arial" w:cs="Arial"/>
          </w:rPr>
          <w:id w:val="1363317695"/>
          <w14:checkbox>
            <w14:checked w14:val="0"/>
            <w14:checkedState w14:val="2612" w14:font="MS Gothic"/>
            <w14:uncheckedState w14:val="2610" w14:font="MS Gothic"/>
          </w14:checkbox>
        </w:sdtPr>
        <w:sdtEndPr/>
        <w:sdtContent>
          <w:r w:rsidR="00D8065F" w:rsidRPr="008B5FCC">
            <w:rPr>
              <w:rFonts w:ascii="Segoe UI Symbol" w:eastAsia="MS Gothic" w:hAnsi="Segoe UI Symbol" w:cs="Segoe UI Symbol"/>
            </w:rPr>
            <w:t>☐</w:t>
          </w:r>
        </w:sdtContent>
      </w:sdt>
      <w:r w:rsidR="00D8065F" w:rsidRPr="008B5FCC">
        <w:rPr>
          <w:rFonts w:ascii="Arial" w:hAnsi="Arial" w:cs="Arial"/>
        </w:rPr>
        <w:t xml:space="preserve">  </w:t>
      </w:r>
      <w:r w:rsidR="00D8065F">
        <w:rPr>
          <w:rFonts w:ascii="Arial" w:hAnsi="Arial" w:cs="Arial"/>
        </w:rPr>
        <w:t>High</w:t>
      </w:r>
      <w:r w:rsidR="00D8065F">
        <w:rPr>
          <w:rFonts w:ascii="Arial" w:hAnsi="Arial" w:cs="Arial"/>
        </w:rPr>
        <w:br/>
      </w:r>
      <w:sdt>
        <w:sdtPr>
          <w:rPr>
            <w:rFonts w:ascii="Arial" w:eastAsia="MS Gothic" w:hAnsi="Arial" w:cs="Arial"/>
          </w:rPr>
          <w:id w:val="1685016300"/>
          <w14:checkbox>
            <w14:checked w14:val="0"/>
            <w14:checkedState w14:val="2612" w14:font="MS Gothic"/>
            <w14:uncheckedState w14:val="2610" w14:font="MS Gothic"/>
          </w14:checkbox>
        </w:sdtPr>
        <w:sdtEndPr/>
        <w:sdtContent>
          <w:r w:rsidR="00D8065F" w:rsidRPr="008B5FCC">
            <w:rPr>
              <w:rFonts w:ascii="Segoe UI Symbol" w:eastAsia="MS Gothic" w:hAnsi="Segoe UI Symbol" w:cs="Segoe UI Symbol"/>
            </w:rPr>
            <w:t>☐</w:t>
          </w:r>
        </w:sdtContent>
      </w:sdt>
      <w:r w:rsidR="00D8065F" w:rsidRPr="008B5FCC">
        <w:rPr>
          <w:rFonts w:ascii="Arial" w:hAnsi="Arial" w:cs="Arial"/>
        </w:rPr>
        <w:t xml:space="preserve">  </w:t>
      </w:r>
      <w:r w:rsidR="00D8065F">
        <w:rPr>
          <w:rFonts w:ascii="Arial" w:hAnsi="Arial" w:cs="Arial"/>
        </w:rPr>
        <w:t>Moderately high</w:t>
      </w:r>
      <w:r w:rsidR="00D8065F">
        <w:rPr>
          <w:rFonts w:ascii="Arial" w:hAnsi="Arial" w:cs="Arial"/>
        </w:rPr>
        <w:br/>
      </w:r>
      <w:sdt>
        <w:sdtPr>
          <w:rPr>
            <w:rFonts w:ascii="Arial" w:eastAsia="MS Gothic" w:hAnsi="Arial" w:cs="Arial"/>
          </w:rPr>
          <w:id w:val="-476765313"/>
          <w14:checkbox>
            <w14:checked w14:val="0"/>
            <w14:checkedState w14:val="2612" w14:font="MS Gothic"/>
            <w14:uncheckedState w14:val="2610" w14:font="MS Gothic"/>
          </w14:checkbox>
        </w:sdtPr>
        <w:sdtEndPr/>
        <w:sdtContent>
          <w:r w:rsidR="00D8065F" w:rsidRPr="008B5FCC">
            <w:rPr>
              <w:rFonts w:ascii="Segoe UI Symbol" w:eastAsia="MS Gothic" w:hAnsi="Segoe UI Symbol" w:cs="Segoe UI Symbol"/>
            </w:rPr>
            <w:t>☐</w:t>
          </w:r>
        </w:sdtContent>
      </w:sdt>
      <w:r w:rsidR="00D8065F" w:rsidRPr="008B5FCC">
        <w:rPr>
          <w:rFonts w:ascii="Arial" w:hAnsi="Arial" w:cs="Arial"/>
        </w:rPr>
        <w:t xml:space="preserve">  </w:t>
      </w:r>
      <w:r w:rsidR="00D8065F">
        <w:rPr>
          <w:rFonts w:ascii="Arial" w:hAnsi="Arial" w:cs="Arial"/>
        </w:rPr>
        <w:t>Moderately low</w:t>
      </w:r>
      <w:r w:rsidR="00D8065F">
        <w:rPr>
          <w:rFonts w:ascii="Arial" w:hAnsi="Arial" w:cs="Arial"/>
        </w:rPr>
        <w:br/>
      </w:r>
      <w:sdt>
        <w:sdtPr>
          <w:rPr>
            <w:rFonts w:ascii="Arial" w:eastAsia="MS Gothic" w:hAnsi="Arial" w:cs="Arial"/>
          </w:rPr>
          <w:id w:val="-60104121"/>
          <w14:checkbox>
            <w14:checked w14:val="0"/>
            <w14:checkedState w14:val="2612" w14:font="MS Gothic"/>
            <w14:uncheckedState w14:val="2610" w14:font="MS Gothic"/>
          </w14:checkbox>
        </w:sdtPr>
        <w:sdtEndPr/>
        <w:sdtContent>
          <w:r w:rsidR="00D8065F">
            <w:rPr>
              <w:rFonts w:ascii="MS Gothic" w:eastAsia="MS Gothic" w:hAnsi="MS Gothic" w:cs="Arial" w:hint="eastAsia"/>
            </w:rPr>
            <w:t>☐</w:t>
          </w:r>
        </w:sdtContent>
      </w:sdt>
      <w:r w:rsidR="00D8065F" w:rsidRPr="008B5FCC">
        <w:rPr>
          <w:rFonts w:ascii="Arial" w:hAnsi="Arial" w:cs="Arial"/>
        </w:rPr>
        <w:t xml:space="preserve">  </w:t>
      </w:r>
      <w:proofErr w:type="spellStart"/>
      <w:r w:rsidR="00D8065F">
        <w:rPr>
          <w:rFonts w:ascii="Arial" w:hAnsi="Arial" w:cs="Arial"/>
        </w:rPr>
        <w:t>Low</w:t>
      </w:r>
      <w:proofErr w:type="spellEnd"/>
    </w:p>
    <w:p w14:paraId="6C814591" w14:textId="77777777" w:rsidR="006C5864" w:rsidRDefault="006C5864" w:rsidP="008C2ACD">
      <w:pPr>
        <w:spacing w:line="276" w:lineRule="auto"/>
        <w:ind w:left="284"/>
        <w:rPr>
          <w:rFonts w:ascii="Arial" w:hAnsi="Arial" w:cs="Arial"/>
        </w:rPr>
      </w:pPr>
    </w:p>
    <w:p w14:paraId="15E9526F" w14:textId="7B87238A" w:rsidR="000A26AB" w:rsidRPr="008B5FCC" w:rsidRDefault="00276E2E" w:rsidP="008B5FCC">
      <w:pPr>
        <w:spacing w:line="360" w:lineRule="auto"/>
        <w:jc w:val="both"/>
        <w:rPr>
          <w:rFonts w:ascii="Arial" w:hAnsi="Arial" w:cs="Arial"/>
          <w:b/>
          <w:bCs/>
          <w:u w:val="single"/>
        </w:rPr>
      </w:pPr>
      <w:r w:rsidRPr="008B5FCC">
        <w:rPr>
          <w:rFonts w:ascii="Arial" w:hAnsi="Arial" w:cs="Arial"/>
          <w:b/>
          <w:bCs/>
          <w:u w:val="single"/>
        </w:rPr>
        <w:t>Nuclear hormone receptors</w:t>
      </w:r>
      <w:r w:rsidR="00173E65" w:rsidRPr="008B5FCC">
        <w:rPr>
          <w:rFonts w:ascii="Arial" w:hAnsi="Arial" w:cs="Arial"/>
          <w:b/>
          <w:bCs/>
          <w:u w:val="single"/>
        </w:rPr>
        <w:t xml:space="preserve"> and steroidogenesis</w:t>
      </w:r>
      <w:r w:rsidR="00D00FF6" w:rsidRPr="008B5FCC">
        <w:rPr>
          <w:rFonts w:ascii="Arial" w:hAnsi="Arial" w:cs="Arial"/>
          <w:b/>
          <w:bCs/>
          <w:u w:val="single"/>
        </w:rPr>
        <w:t>-</w:t>
      </w:r>
      <w:r w:rsidR="00173E65" w:rsidRPr="008B5FCC">
        <w:rPr>
          <w:rFonts w:ascii="Arial" w:hAnsi="Arial" w:cs="Arial"/>
          <w:b/>
          <w:bCs/>
          <w:u w:val="single"/>
        </w:rPr>
        <w:t>related</w:t>
      </w:r>
      <w:r w:rsidR="00D00FF6" w:rsidRPr="008B5FCC">
        <w:rPr>
          <w:rFonts w:ascii="Arial" w:hAnsi="Arial" w:cs="Arial"/>
          <w:b/>
          <w:bCs/>
          <w:u w:val="single"/>
        </w:rPr>
        <w:t xml:space="preserve"> </w:t>
      </w:r>
      <w:r w:rsidR="00173E65" w:rsidRPr="008B5FCC">
        <w:rPr>
          <w:rFonts w:ascii="Arial" w:hAnsi="Arial" w:cs="Arial"/>
          <w:b/>
          <w:bCs/>
          <w:u w:val="single"/>
        </w:rPr>
        <w:t>genes</w:t>
      </w:r>
      <w:r w:rsidRPr="008B5FCC">
        <w:rPr>
          <w:rFonts w:ascii="Arial" w:hAnsi="Arial" w:cs="Arial"/>
          <w:b/>
          <w:bCs/>
          <w:u w:val="single"/>
        </w:rPr>
        <w:t>:</w:t>
      </w:r>
    </w:p>
    <w:p w14:paraId="2890C3E1" w14:textId="79F9453C" w:rsidR="003F6B45" w:rsidRPr="00D8065F" w:rsidRDefault="0008629D" w:rsidP="00D8065F">
      <w:pPr>
        <w:pStyle w:val="ListParagraph"/>
        <w:numPr>
          <w:ilvl w:val="0"/>
          <w:numId w:val="10"/>
        </w:numPr>
        <w:spacing w:line="360" w:lineRule="auto"/>
        <w:jc w:val="both"/>
        <w:rPr>
          <w:rFonts w:ascii="Arial" w:hAnsi="Arial" w:cs="Arial"/>
        </w:rPr>
      </w:pPr>
      <w:r w:rsidRPr="008B5FCC">
        <w:rPr>
          <w:rFonts w:ascii="Arial" w:hAnsi="Arial" w:cs="Arial"/>
        </w:rPr>
        <w:t>Verification of</w:t>
      </w:r>
      <w:r w:rsidR="00173E65" w:rsidRPr="008B5FCC">
        <w:rPr>
          <w:rFonts w:ascii="Arial" w:hAnsi="Arial" w:cs="Arial"/>
        </w:rPr>
        <w:t xml:space="preserve"> expression of</w:t>
      </w:r>
      <w:r w:rsidRPr="008B5FCC">
        <w:rPr>
          <w:rFonts w:ascii="Arial" w:hAnsi="Arial" w:cs="Arial"/>
        </w:rPr>
        <w:t xml:space="preserve"> nuclear hormone receptor</w:t>
      </w:r>
      <w:r w:rsidR="00173E65" w:rsidRPr="008B5FCC">
        <w:rPr>
          <w:rFonts w:ascii="Arial" w:hAnsi="Arial" w:cs="Arial"/>
        </w:rPr>
        <w:t>s and steroidogenesis-related genes</w:t>
      </w:r>
      <w:r w:rsidRPr="008B5FCC">
        <w:rPr>
          <w:rFonts w:ascii="Arial" w:hAnsi="Arial" w:cs="Arial"/>
        </w:rPr>
        <w:t xml:space="preserve"> in the molluscan genome:</w:t>
      </w:r>
    </w:p>
    <w:p w14:paraId="0FDEEBB7" w14:textId="795DCC04" w:rsidR="006C5864" w:rsidRPr="008B5FCC" w:rsidRDefault="003F6B45" w:rsidP="008B5FCC">
      <w:pPr>
        <w:spacing w:line="360" w:lineRule="auto"/>
        <w:jc w:val="both"/>
        <w:rPr>
          <w:rFonts w:ascii="Arial" w:hAnsi="Arial" w:cs="Arial"/>
        </w:rPr>
      </w:pPr>
      <w:r w:rsidRPr="008B5FCC">
        <w:rPr>
          <w:rFonts w:ascii="Arial" w:hAnsi="Arial" w:cs="Arial"/>
        </w:rPr>
        <w:lastRenderedPageBreak/>
        <w:t>The identification of a nuclear hormone receptor or a steroidogenesis-related gene in molluscs must be verified to exist in the genome of the test organism by gene expression. However, several steroidogenesis-related proteins that have been previously identified in molluscs by protein assays (</w:t>
      </w:r>
      <w:proofErr w:type="gramStart"/>
      <w:r w:rsidRPr="008B5FCC">
        <w:rPr>
          <w:rFonts w:ascii="Arial" w:hAnsi="Arial" w:cs="Arial"/>
        </w:rPr>
        <w:t>e.g.</w:t>
      </w:r>
      <w:proofErr w:type="gramEnd"/>
      <w:r w:rsidRPr="008B5FCC">
        <w:rPr>
          <w:rFonts w:ascii="Arial" w:hAnsi="Arial" w:cs="Arial"/>
        </w:rPr>
        <w:t xml:space="preserve"> western blotting, antibody assays), were reported to exist in molluscan tissues without confirmation of gene expression.  Molecular techniques (</w:t>
      </w:r>
      <w:proofErr w:type="gramStart"/>
      <w:r w:rsidRPr="008B5FCC">
        <w:rPr>
          <w:rFonts w:ascii="Arial" w:hAnsi="Arial" w:cs="Arial"/>
        </w:rPr>
        <w:t>e.g.</w:t>
      </w:r>
      <w:proofErr w:type="gramEnd"/>
      <w:r w:rsidRPr="008B5FCC">
        <w:rPr>
          <w:rFonts w:ascii="Arial" w:hAnsi="Arial" w:cs="Arial"/>
        </w:rPr>
        <w:t xml:space="preserve"> PCR) are the most reliable methods for verifying the expression of nuclear hormone receptor genes and steroidogenesis-related genes in the molluscan genome. Failure or incapability to confirm the expression of those genes using a molecular technique (</w:t>
      </w:r>
      <w:proofErr w:type="gramStart"/>
      <w:r w:rsidRPr="008B5FCC">
        <w:rPr>
          <w:rFonts w:ascii="Arial" w:hAnsi="Arial" w:cs="Arial"/>
        </w:rPr>
        <w:t>e.g.</w:t>
      </w:r>
      <w:proofErr w:type="gramEnd"/>
      <w:r w:rsidRPr="008B5FCC">
        <w:rPr>
          <w:rFonts w:ascii="Arial" w:hAnsi="Arial" w:cs="Arial"/>
        </w:rPr>
        <w:t xml:space="preserve"> PCR) inevitably results to incomplete evidence about their presence (and thereby functional ability) in the organism’s genome.</w:t>
      </w:r>
    </w:p>
    <w:p w14:paraId="6F38CF7F" w14:textId="27ADA6D6" w:rsidR="000D153E" w:rsidRPr="008B5FCC" w:rsidRDefault="00F3027A" w:rsidP="008B5FCC">
      <w:pPr>
        <w:pStyle w:val="ListParagraph"/>
        <w:numPr>
          <w:ilvl w:val="0"/>
          <w:numId w:val="14"/>
        </w:numPr>
        <w:spacing w:line="360" w:lineRule="auto"/>
        <w:jc w:val="both"/>
        <w:rPr>
          <w:rFonts w:ascii="Arial" w:hAnsi="Arial" w:cs="Arial"/>
        </w:rPr>
      </w:pPr>
      <w:r w:rsidRPr="008B5FCC">
        <w:rPr>
          <w:rFonts w:ascii="Arial" w:hAnsi="Arial" w:cs="Arial"/>
        </w:rPr>
        <w:t>Was the NR verified to be expressed in the genome?</w:t>
      </w:r>
    </w:p>
    <w:p w14:paraId="0771F48A" w14:textId="658CFFF0" w:rsidR="000D153E" w:rsidRPr="008B5FCC" w:rsidRDefault="00A17E9F" w:rsidP="008B5FCC">
      <w:pPr>
        <w:pStyle w:val="ListParagraph"/>
        <w:numPr>
          <w:ilvl w:val="0"/>
          <w:numId w:val="14"/>
        </w:numPr>
        <w:spacing w:line="360" w:lineRule="auto"/>
        <w:jc w:val="both"/>
        <w:rPr>
          <w:rFonts w:ascii="Arial" w:hAnsi="Arial" w:cs="Arial"/>
        </w:rPr>
      </w:pPr>
      <w:r w:rsidRPr="008B5FCC">
        <w:rPr>
          <w:rFonts w:ascii="Arial" w:hAnsi="Arial" w:cs="Arial"/>
        </w:rPr>
        <w:t xml:space="preserve">Was the </w:t>
      </w:r>
      <w:r w:rsidR="006024D7" w:rsidRPr="008B5FCC">
        <w:rPr>
          <w:rFonts w:ascii="Arial" w:hAnsi="Arial" w:cs="Arial"/>
        </w:rPr>
        <w:t xml:space="preserve">steroidogenesis-related </w:t>
      </w:r>
      <w:r w:rsidRPr="008B5FCC">
        <w:rPr>
          <w:rFonts w:ascii="Arial" w:hAnsi="Arial" w:cs="Arial"/>
        </w:rPr>
        <w:t>gene recorded in the genome?</w:t>
      </w:r>
    </w:p>
    <w:p w14:paraId="6CD8C4A9" w14:textId="28924192" w:rsidR="000D153E" w:rsidRDefault="00464AAF" w:rsidP="008B5FCC">
      <w:pPr>
        <w:pStyle w:val="ListParagraph"/>
        <w:numPr>
          <w:ilvl w:val="0"/>
          <w:numId w:val="14"/>
        </w:numPr>
        <w:spacing w:line="360" w:lineRule="auto"/>
        <w:jc w:val="both"/>
        <w:rPr>
          <w:rFonts w:ascii="Arial" w:hAnsi="Arial" w:cs="Arial"/>
        </w:rPr>
      </w:pPr>
      <w:r w:rsidRPr="008B5FCC">
        <w:rPr>
          <w:rFonts w:ascii="Arial" w:hAnsi="Arial" w:cs="Arial"/>
        </w:rPr>
        <w:t xml:space="preserve">Was the expression of steroidogenesis-related genes in the target tissue(s) confirmed </w:t>
      </w:r>
      <w:r w:rsidR="000D153E" w:rsidRPr="008B5FCC">
        <w:rPr>
          <w:rFonts w:ascii="Arial" w:hAnsi="Arial" w:cs="Arial"/>
        </w:rPr>
        <w:t>using a molecular technique (</w:t>
      </w:r>
      <w:proofErr w:type="gramStart"/>
      <w:r w:rsidR="000D153E" w:rsidRPr="008B5FCC">
        <w:rPr>
          <w:rFonts w:ascii="Arial" w:hAnsi="Arial" w:cs="Arial"/>
        </w:rPr>
        <w:t>e.g.</w:t>
      </w:r>
      <w:proofErr w:type="gramEnd"/>
      <w:r w:rsidR="000D153E" w:rsidRPr="008B5FCC">
        <w:rPr>
          <w:rFonts w:ascii="Arial" w:hAnsi="Arial" w:cs="Arial"/>
        </w:rPr>
        <w:t xml:space="preserve"> PCR)?</w:t>
      </w:r>
    </w:p>
    <w:p w14:paraId="4A4C210A" w14:textId="051EC5A9" w:rsidR="006C5864" w:rsidRPr="00D8065F" w:rsidRDefault="00D8065F" w:rsidP="006C5864">
      <w:pPr>
        <w:spacing w:line="276" w:lineRule="auto"/>
        <w:ind w:left="284"/>
        <w:rPr>
          <w:rFonts w:ascii="Arial" w:hAnsi="Arial" w:cs="Arial"/>
        </w:rPr>
      </w:pPr>
      <w:proofErr w:type="gramStart"/>
      <w:r w:rsidRPr="00D8065F">
        <w:rPr>
          <w:rFonts w:ascii="Segoe UI Symbol" w:hAnsi="Segoe UI Symbol" w:cs="Segoe UI Symbol"/>
        </w:rPr>
        <w:t>☐</w:t>
      </w:r>
      <w:r w:rsidRPr="00D8065F">
        <w:rPr>
          <w:rFonts w:ascii="Arial" w:hAnsi="Arial" w:cs="Arial"/>
        </w:rPr>
        <w:t xml:space="preserve">  Fulfilled</w:t>
      </w:r>
      <w:proofErr w:type="gramEnd"/>
      <w:r>
        <w:rPr>
          <w:rFonts w:ascii="Arial" w:hAnsi="Arial" w:cs="Arial"/>
        </w:rPr>
        <w:br/>
      </w:r>
      <w:r w:rsidRPr="00D8065F">
        <w:rPr>
          <w:rFonts w:ascii="Segoe UI Symbol" w:hAnsi="Segoe UI Symbol" w:cs="Segoe UI Symbol"/>
        </w:rPr>
        <w:t>☐</w:t>
      </w:r>
      <w:r w:rsidRPr="00D8065F">
        <w:rPr>
          <w:rFonts w:ascii="Arial" w:hAnsi="Arial" w:cs="Arial"/>
        </w:rPr>
        <w:t xml:space="preserve">  Partially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determined</w:t>
      </w:r>
      <w:r>
        <w:rPr>
          <w:rFonts w:ascii="Arial" w:hAnsi="Arial" w:cs="Arial"/>
        </w:rPr>
        <w:br/>
      </w:r>
    </w:p>
    <w:p w14:paraId="2BA017BD" w14:textId="5066753F" w:rsidR="00723AD5" w:rsidRPr="000A26AB" w:rsidRDefault="00F96041" w:rsidP="00723AD5">
      <w:pPr>
        <w:pStyle w:val="ListParagraph"/>
        <w:numPr>
          <w:ilvl w:val="0"/>
          <w:numId w:val="10"/>
        </w:numPr>
        <w:spacing w:line="360" w:lineRule="auto"/>
        <w:jc w:val="both"/>
        <w:rPr>
          <w:rFonts w:ascii="Arial" w:hAnsi="Arial" w:cs="Arial"/>
        </w:rPr>
      </w:pPr>
      <w:r w:rsidRPr="000A26AB">
        <w:rPr>
          <w:rFonts w:ascii="Arial" w:hAnsi="Arial" w:cs="Arial"/>
        </w:rPr>
        <w:t>Verification of NR affiliation with conserved DNA binding domains (DBD) and ligand binding domains (LBD):</w:t>
      </w:r>
    </w:p>
    <w:p w14:paraId="52FEC4FC" w14:textId="659C5FC3" w:rsidR="00344872" w:rsidRDefault="00344872" w:rsidP="008B5FCC">
      <w:pPr>
        <w:spacing w:line="360" w:lineRule="auto"/>
        <w:jc w:val="both"/>
        <w:rPr>
          <w:rFonts w:ascii="Arial" w:hAnsi="Arial" w:cs="Arial"/>
        </w:rPr>
      </w:pPr>
      <w:r w:rsidRPr="008B5FCC">
        <w:rPr>
          <w:rFonts w:ascii="Arial" w:hAnsi="Arial" w:cs="Arial"/>
        </w:rPr>
        <w:t xml:space="preserve">The DNA binding domain (DBD) is a highly conserved domain amongst nuclear receptors which contains: (1) a five amino acid sequence (P-box) that is responsible for determining the DNA binding specificity and (2) the D-box which controls the dimerization of the receptor </w:t>
      </w:r>
      <w:r w:rsidRPr="008B5FCC">
        <w:rPr>
          <w:rFonts w:ascii="Arial" w:hAnsi="Arial" w:cs="Arial"/>
        </w:rPr>
        <w:fldChar w:fldCharType="begin" w:fldLock="1"/>
      </w:r>
      <w:r w:rsidRPr="008B5FCC">
        <w:rPr>
          <w:rFonts w:ascii="Arial" w:hAnsi="Arial" w:cs="Arial"/>
        </w:rPr>
        <w:instrText>ADDIN CSL_CITATION {"citationItems":[{"id":"ITEM-1","itemData":{"DOI":"10.1186/1471-2164-15-369","abstract":"Background: Nuclear receptors are a superfamily of transcription factors important in key biological, developmental and reproductive processes. Several of these receptors are ligand-activated and through their ability to bind endogenous and exogenous ligands, are potentially vulnerable to xenobiotics. Molluscs are key ecological species in defining aquatic and terrestrial habitats and are sensitive to xenobiotic compounds in the environment. However, the understanding of nuclear receptor presence, function and xenobiotic disruption in the phylum Mollusca is limited. Results: Here, forty-three nuclear receptor sequences were mined from the genome of the Pacific oyster, Crassostrea gigas. They include members of NR0-NR5 subfamilies, notably lacking any NR6 members. Phylogenetic analyses of the oyster nuclear receptors have been conducted showing the presence of a large novel subfamily group not previously reported, which is named NR1P. Homologues to all previous identified nuclear receptors in other mollusc species have also been determined including the putative heterodimer partner retinoid X receptor, estrogen receptor and estrogen related receptor.","author":[{"dropping-particle":"","family":"Vogeler","given":"Susanne","non-dropping-particle":"","parse-names":false,"suffix":""},{"dropping-particle":"","family":"Galloway","given":"Tamara S","non-dropping-particle":"","parse-names":false,"suffix":""},{"dropping-particle":"","family":"Lyons","given":"Brett P","non-dropping-particle":"","parse-names":false,"suffix":""},{"dropping-particle":"","family":"Bean","given":"Tim P","non-dropping-particle":"","parse-names":false,"suffix":""}],"id":"ITEM-1","issued":{"date-parts":[["2014"]]},"title":"The nuclear receptor gene family in the Pacific oyster, Crassostrea gigas, contains a novel subfamily group","type":"report"},"uris":["http://www.mendeley.com/documents/?uuid=e609f42a-9f23-31ad-9cd8-fa8eb2ed737b"]}],"mendeley":{"formattedCitation":"(Vogeler et al., 2014)","plainTextFormattedCitation":"(Vogeler et al., 2014)","previouslyFormattedCitation":"(Vogeler et al., 2014)"},"properties":{"noteIndex":0},"schema":"https://github.com/citation-style-language/schema/raw/master/csl-citation.json"}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(Vogeler et al., 2014)</w:t>
      </w:r>
      <w:r w:rsidRPr="008B5FCC">
        <w:rPr>
          <w:rFonts w:ascii="Arial" w:hAnsi="Arial" w:cs="Arial"/>
        </w:rPr>
        <w:fldChar w:fldCharType="end"/>
      </w:r>
      <w:r w:rsidRPr="008B5FCC">
        <w:rPr>
          <w:rFonts w:ascii="Arial" w:hAnsi="Arial" w:cs="Arial"/>
        </w:rPr>
        <w:t xml:space="preserve">. The ligand binding domain (LBD) is also highly conserved in structure and fairly conserved in sequence. LBD is known to bind to hormonal ligands and cause conformational change to the receptor which in turn induces or inhibits gene expression </w:t>
      </w:r>
      <w:r w:rsidRPr="008B5FCC">
        <w:rPr>
          <w:rFonts w:ascii="Arial" w:hAnsi="Arial" w:cs="Arial"/>
        </w:rPr>
        <w:fldChar w:fldCharType="begin" w:fldLock="1"/>
      </w:r>
      <w:r w:rsidRPr="008B5FCC">
        <w:rPr>
          <w:rFonts w:ascii="Arial" w:hAnsi="Arial" w:cs="Arial"/>
        </w:rPr>
        <w:instrText>ADDIN CSL_CITATION {"citationItems":[{"id":"ITEM-1","itemData":{"DOI":"10.1186/1471-2164-15-369","abstract":"Background: Nuclear receptors are a superfamily of transcription factors important in key biological, developmental and reproductive processes. Several of these receptors are ligand-activated and through their ability to bind endogenous and exogenous ligands, are potentially vulnerable to xenobiotics. Molluscs are key ecological species in defining aquatic and terrestrial habitats and are sensitive to xenobiotic compounds in the environment. However, the understanding of nuclear receptor presence, function and xenobiotic disruption in the phylum Mollusca is limited. Results: Here, forty-three nuclear receptor sequences were mined from the genome of the Pacific oyster, Crassostrea gigas. They include members of NR0-NR5 subfamilies, notably lacking any NR6 members. Phylogenetic analyses of the oyster nuclear receptors have been conducted showing the presence of a large novel subfamily group not previously reported, which is named NR1P. Homologues to all previous identified nuclear receptors in other mollusc species have also been determined including the putative heterodimer partner retinoid X receptor, estrogen receptor and estrogen related receptor.","author":[{"dropping-particle":"","family":"Vogeler","given":"Susanne","non-dropping-particle":"","parse-names":false,"suffix":""},{"dropping-particle":"","family":"Galloway","given":"Tamara S","non-dropping-particle":"","parse-names":false,"suffix":""},{"dropping-particle":"","family":"Lyons","given":"Brett P","non-dropping-particle":"","parse-names":false,"suffix":""},{"dropping-particle":"","family":"Bean","given":"Tim P","non-dropping-particle":"","parse-names":false,"suffix":""}],"id":"ITEM-1","issued":{"date-parts":[["2014"]]},"title":"The nuclear receptor gene family in the Pacific oyster, Crassostrea gigas, contains a novel subfamily group","type":"report"},"uris":["http://www.mendeley.com/documents/?uuid=e609f42a-9f23-31ad-9cd8-fa8eb2ed737b"]}],"mendeley":{"formattedCitation":"(Vogeler et al., 2014)","plainTextFormattedCitation":"(Vogeler et al., 2014)","previouslyFormattedCitation":"(Vogeler et al., 2014)"},"properties":{"noteIndex":0},"schema":"https://github.com/citation-style-language/schema/raw/master/csl-citation.json"}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(Vogeler et al., 2014)</w:t>
      </w:r>
      <w:r w:rsidRPr="008B5FCC">
        <w:rPr>
          <w:rFonts w:ascii="Arial" w:hAnsi="Arial" w:cs="Arial"/>
        </w:rPr>
        <w:fldChar w:fldCharType="end"/>
      </w:r>
      <w:r w:rsidRPr="008B5FCC">
        <w:rPr>
          <w:rFonts w:ascii="Arial" w:hAnsi="Arial" w:cs="Arial"/>
        </w:rPr>
        <w:t xml:space="preserve">. Thus, the structure of a nuclear receptor can be affiliated based upon its conserved ligands, DBD and LBD, by conducting a conserved domain search and comparing its structure with other already-identified nuclear receptors. This is an important step in verifying the function and evolutionary history of a nuclear receptor that has been identified in molluscs. The level of ligand binding domain similarity is usually expressed as a percentage, and therefore the level of affiliation of NRs in this study will be calculated comparatively according to the retrieved data and body of evidence.  </w:t>
      </w:r>
    </w:p>
    <w:p w14:paraId="3B12A198" w14:textId="77777777" w:rsidR="006C5864" w:rsidRPr="008B5FCC" w:rsidRDefault="006C5864" w:rsidP="008B5FCC">
      <w:pPr>
        <w:spacing w:line="360" w:lineRule="auto"/>
        <w:jc w:val="both"/>
        <w:rPr>
          <w:rFonts w:ascii="Arial" w:hAnsi="Arial" w:cs="Arial"/>
        </w:rPr>
      </w:pPr>
    </w:p>
    <w:p w14:paraId="122AD26D" w14:textId="4993AF1C" w:rsidR="000D153E" w:rsidRDefault="00633765" w:rsidP="008B5FCC">
      <w:pPr>
        <w:pStyle w:val="ListParagraph"/>
        <w:numPr>
          <w:ilvl w:val="0"/>
          <w:numId w:val="16"/>
        </w:numPr>
        <w:spacing w:line="360" w:lineRule="auto"/>
        <w:jc w:val="both"/>
        <w:rPr>
          <w:rFonts w:ascii="Arial" w:hAnsi="Arial" w:cs="Arial"/>
        </w:rPr>
      </w:pPr>
      <w:r w:rsidRPr="008B5FCC">
        <w:rPr>
          <w:rFonts w:ascii="Arial" w:hAnsi="Arial" w:cs="Arial"/>
        </w:rPr>
        <w:lastRenderedPageBreak/>
        <w:t>Was NR affiliation verified based upon the conserved DBD and LBD (and was the level of affiliation adequate)?</w:t>
      </w:r>
    </w:p>
    <w:p w14:paraId="007B4D1C" w14:textId="1E120D63" w:rsidR="006C5864" w:rsidRPr="00D8065F" w:rsidRDefault="00D8065F" w:rsidP="006C5864">
      <w:pPr>
        <w:spacing w:line="276" w:lineRule="auto"/>
        <w:ind w:left="360"/>
        <w:rPr>
          <w:rFonts w:ascii="Arial" w:hAnsi="Arial" w:cs="Arial"/>
        </w:rPr>
      </w:pPr>
      <w:proofErr w:type="gramStart"/>
      <w:r w:rsidRPr="00D8065F">
        <w:rPr>
          <w:rFonts w:ascii="Segoe UI Symbol" w:hAnsi="Segoe UI Symbol" w:cs="Segoe UI Symbol"/>
        </w:rPr>
        <w:t>☐</w:t>
      </w:r>
      <w:r w:rsidRPr="00D8065F">
        <w:rPr>
          <w:rFonts w:ascii="Arial" w:hAnsi="Arial" w:cs="Arial"/>
        </w:rPr>
        <w:t xml:space="preserve">  Fulfilled</w:t>
      </w:r>
      <w:proofErr w:type="gramEnd"/>
      <w:r>
        <w:rPr>
          <w:rFonts w:ascii="Arial" w:hAnsi="Arial" w:cs="Arial"/>
        </w:rPr>
        <w:br/>
      </w:r>
      <w:r w:rsidRPr="00D8065F">
        <w:rPr>
          <w:rFonts w:ascii="Segoe UI Symbol" w:hAnsi="Segoe UI Symbol" w:cs="Segoe UI Symbol"/>
        </w:rPr>
        <w:t>☐</w:t>
      </w:r>
      <w:r w:rsidRPr="00D8065F">
        <w:rPr>
          <w:rFonts w:ascii="Arial" w:hAnsi="Arial" w:cs="Arial"/>
        </w:rPr>
        <w:t xml:space="preserve">  Partially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determined</w:t>
      </w:r>
      <w:r>
        <w:rPr>
          <w:rFonts w:ascii="Arial" w:hAnsi="Arial" w:cs="Arial"/>
        </w:rPr>
        <w:br/>
      </w:r>
    </w:p>
    <w:p w14:paraId="171032CF" w14:textId="63D588E8" w:rsidR="00102094" w:rsidRPr="000A26AB" w:rsidRDefault="00102094" w:rsidP="008B5FCC">
      <w:pPr>
        <w:pStyle w:val="ListParagraph"/>
        <w:numPr>
          <w:ilvl w:val="0"/>
          <w:numId w:val="10"/>
        </w:numPr>
        <w:spacing w:line="360" w:lineRule="auto"/>
        <w:jc w:val="both"/>
        <w:rPr>
          <w:rFonts w:ascii="Arial" w:hAnsi="Arial" w:cs="Arial"/>
        </w:rPr>
      </w:pPr>
      <w:r w:rsidRPr="000A26AB">
        <w:rPr>
          <w:rFonts w:ascii="Arial" w:hAnsi="Arial" w:cs="Arial"/>
        </w:rPr>
        <w:t>Phylogenetic analysis</w:t>
      </w:r>
      <w:r w:rsidR="00227041" w:rsidRPr="000A26AB">
        <w:rPr>
          <w:rFonts w:ascii="Arial" w:hAnsi="Arial" w:cs="Arial"/>
        </w:rPr>
        <w:t xml:space="preserve"> - Estimation of </w:t>
      </w:r>
      <w:r w:rsidR="005279EF" w:rsidRPr="000A26AB">
        <w:rPr>
          <w:rFonts w:ascii="Arial" w:hAnsi="Arial" w:cs="Arial"/>
        </w:rPr>
        <w:t>homology</w:t>
      </w:r>
      <w:r w:rsidR="00227041" w:rsidRPr="000A26AB">
        <w:rPr>
          <w:rFonts w:ascii="Arial" w:hAnsi="Arial" w:cs="Arial"/>
        </w:rPr>
        <w:t xml:space="preserve"> amongst NR and steroidogenesis-related genes:</w:t>
      </w:r>
    </w:p>
    <w:p w14:paraId="4F5F476C" w14:textId="630DECAB" w:rsidR="006C5864" w:rsidRPr="008B5FCC" w:rsidRDefault="008B3F14" w:rsidP="008B5FCC">
      <w:pPr>
        <w:spacing w:line="360" w:lineRule="auto"/>
        <w:jc w:val="both"/>
        <w:rPr>
          <w:rFonts w:ascii="Arial" w:hAnsi="Arial" w:cs="Arial"/>
        </w:rPr>
      </w:pPr>
      <w:r w:rsidRPr="008B5FCC">
        <w:rPr>
          <w:rFonts w:ascii="Arial" w:hAnsi="Arial" w:cs="Arial"/>
        </w:rPr>
        <w:t xml:space="preserve">Along with molecular diagnostics, phylogenetics can be used to address the interference of the evolutionary history and relationships amongst nuclear receptors identified in different species. </w:t>
      </w:r>
      <w:proofErr w:type="gramStart"/>
      <w:r w:rsidRPr="008B5FCC">
        <w:rPr>
          <w:rFonts w:ascii="Arial" w:hAnsi="Arial" w:cs="Arial"/>
        </w:rPr>
        <w:t>Similar to</w:t>
      </w:r>
      <w:proofErr w:type="gramEnd"/>
      <w:r w:rsidRPr="008B5FCC">
        <w:rPr>
          <w:rFonts w:ascii="Arial" w:hAnsi="Arial" w:cs="Arial"/>
        </w:rPr>
        <w:t xml:space="preserve"> ligand binding affiliation, the level homology that exists within nuclear receptors and between different species (whether these are vertebrates or invertebrates) can give an indication of their functional preservation and phylogenetic relationships. In case where significant similarity between two NRs is achieved, this will exhibit strong evidence that these NRs are related over evolutionary time. Phylogenetics can also be used to verify homologous sequences between steroidogenesis-related genes identified in molluscs with already-known sequences of such genes known to exist in other species (vertebrates or invertebrates). Thus, the level of homology can reveal similarities in the structure, function, or developmental mechanisms that exist between genes. </w:t>
      </w:r>
      <w:r w:rsidR="00687588" w:rsidRPr="008B5FCC">
        <w:rPr>
          <w:rFonts w:ascii="Arial" w:hAnsi="Arial" w:cs="Arial"/>
        </w:rPr>
        <w:t xml:space="preserve">Depending on the quality of the obtained data, conclusions can </w:t>
      </w:r>
      <w:r w:rsidR="00C02881" w:rsidRPr="008B5FCC">
        <w:rPr>
          <w:rFonts w:ascii="Arial" w:hAnsi="Arial" w:cs="Arial"/>
        </w:rPr>
        <w:t>also be</w:t>
      </w:r>
      <w:r w:rsidR="00687588" w:rsidRPr="008B5FCC">
        <w:rPr>
          <w:rFonts w:ascii="Arial" w:hAnsi="Arial" w:cs="Arial"/>
        </w:rPr>
        <w:t xml:space="preserve"> drawn about the expression patterns and sequence similarities between </w:t>
      </w:r>
      <w:r w:rsidR="008623D3" w:rsidRPr="008B5FCC">
        <w:rPr>
          <w:rFonts w:ascii="Arial" w:hAnsi="Arial" w:cs="Arial"/>
        </w:rPr>
        <w:t xml:space="preserve">NR and steroidogenesis-related </w:t>
      </w:r>
      <w:r w:rsidR="00687588" w:rsidRPr="008B5FCC">
        <w:rPr>
          <w:rFonts w:ascii="Arial" w:hAnsi="Arial" w:cs="Arial"/>
        </w:rPr>
        <w:t>genes.</w:t>
      </w:r>
      <w:r w:rsidR="00C02881" w:rsidRPr="008B5FCC">
        <w:rPr>
          <w:rFonts w:ascii="Arial" w:hAnsi="Arial" w:cs="Arial"/>
        </w:rPr>
        <w:t xml:space="preserve"> </w:t>
      </w:r>
      <w:r w:rsidR="002131AA" w:rsidRPr="008B5FCC">
        <w:rPr>
          <w:rFonts w:ascii="Arial" w:hAnsi="Arial" w:cs="Arial"/>
        </w:rPr>
        <w:t>The level of homology amongst NRs</w:t>
      </w:r>
      <w:r w:rsidR="00687588" w:rsidRPr="008B5FCC">
        <w:rPr>
          <w:rFonts w:ascii="Arial" w:hAnsi="Arial" w:cs="Arial"/>
        </w:rPr>
        <w:t xml:space="preserve"> and steroidogenesis-related genes</w:t>
      </w:r>
      <w:r w:rsidR="002131AA" w:rsidRPr="008B5FCC">
        <w:rPr>
          <w:rFonts w:ascii="Arial" w:hAnsi="Arial" w:cs="Arial"/>
        </w:rPr>
        <w:t xml:space="preserve"> will be calculated comparatively according to the retrieved data and</w:t>
      </w:r>
      <w:r w:rsidR="002F39E9" w:rsidRPr="008B5FCC">
        <w:rPr>
          <w:rFonts w:ascii="Arial" w:hAnsi="Arial" w:cs="Arial"/>
        </w:rPr>
        <w:t xml:space="preserve"> the whole</w:t>
      </w:r>
      <w:r w:rsidR="002131AA" w:rsidRPr="008B5FCC">
        <w:rPr>
          <w:rFonts w:ascii="Arial" w:hAnsi="Arial" w:cs="Arial"/>
        </w:rPr>
        <w:t xml:space="preserve"> body of evidence.  </w:t>
      </w:r>
    </w:p>
    <w:p w14:paraId="525014F0" w14:textId="3BCB4743" w:rsidR="000D153E" w:rsidRPr="008B5FCC" w:rsidRDefault="002131AA" w:rsidP="008B5FCC">
      <w:pPr>
        <w:pStyle w:val="ListParagraph"/>
        <w:numPr>
          <w:ilvl w:val="0"/>
          <w:numId w:val="17"/>
        </w:numPr>
        <w:spacing w:line="360" w:lineRule="auto"/>
        <w:jc w:val="both"/>
        <w:rPr>
          <w:rFonts w:ascii="Arial" w:hAnsi="Arial" w:cs="Arial"/>
        </w:rPr>
      </w:pPr>
      <w:r w:rsidRPr="008B5FCC">
        <w:rPr>
          <w:rFonts w:ascii="Arial" w:hAnsi="Arial" w:cs="Arial"/>
        </w:rPr>
        <w:t>Was a phylogenetic analysis performed (that confirms adequate percentage of homology to other NRs already proven to exist in vertebrates/invertebrates)?</w:t>
      </w:r>
    </w:p>
    <w:p w14:paraId="62DBF5E1" w14:textId="5E9370EE" w:rsidR="00775EAC" w:rsidRPr="008B5FCC" w:rsidRDefault="000D153E" w:rsidP="008B5FCC">
      <w:pPr>
        <w:pStyle w:val="ListParagraph"/>
        <w:numPr>
          <w:ilvl w:val="0"/>
          <w:numId w:val="17"/>
        </w:numPr>
        <w:spacing w:line="360" w:lineRule="auto"/>
        <w:jc w:val="both"/>
        <w:rPr>
          <w:rFonts w:ascii="Arial" w:hAnsi="Arial" w:cs="Arial"/>
        </w:rPr>
      </w:pPr>
      <w:r w:rsidRPr="008B5FCC">
        <w:rPr>
          <w:rFonts w:ascii="Arial" w:hAnsi="Arial" w:cs="Arial"/>
        </w:rPr>
        <w:t>Was the expression of the gene found to be homologous to other steroidogenesis-related transcripts?</w:t>
      </w:r>
    </w:p>
    <w:p w14:paraId="0E3E27DC" w14:textId="3A216550" w:rsidR="000D153E" w:rsidRPr="008B5FCC" w:rsidRDefault="000D153E" w:rsidP="008B5FCC">
      <w:pPr>
        <w:pStyle w:val="ListParagraph"/>
        <w:numPr>
          <w:ilvl w:val="0"/>
          <w:numId w:val="18"/>
        </w:numPr>
        <w:spacing w:line="360" w:lineRule="auto"/>
        <w:jc w:val="both"/>
        <w:rPr>
          <w:rFonts w:ascii="Arial" w:hAnsi="Arial" w:cs="Arial"/>
        </w:rPr>
      </w:pPr>
      <w:r w:rsidRPr="008B5FCC">
        <w:rPr>
          <w:rFonts w:ascii="Arial" w:hAnsi="Arial" w:cs="Arial"/>
        </w:rPr>
        <w:t>Was the level of homology (with already identified and confirmed-to-exist steroidogenesis-related genes in vertebrates/invertebrates) adequate?</w:t>
      </w:r>
    </w:p>
    <w:p w14:paraId="6FECE08D" w14:textId="31B7E0EA" w:rsidR="008C2ACD" w:rsidRPr="008C2ACD" w:rsidRDefault="008C2ACD" w:rsidP="008C2ACD">
      <w:pPr>
        <w:spacing w:line="276" w:lineRule="auto"/>
        <w:ind w:left="284"/>
        <w:rPr>
          <w:rFonts w:ascii="Arial" w:hAnsi="Arial" w:cs="Arial"/>
        </w:rPr>
      </w:pPr>
      <w:proofErr w:type="gramStart"/>
      <w:r w:rsidRPr="00D8065F">
        <w:rPr>
          <w:rFonts w:ascii="Segoe UI Symbol" w:hAnsi="Segoe UI Symbol" w:cs="Segoe UI Symbol"/>
        </w:rPr>
        <w:t>☐</w:t>
      </w:r>
      <w:r w:rsidRPr="00D8065F">
        <w:rPr>
          <w:rFonts w:ascii="Arial" w:hAnsi="Arial" w:cs="Arial"/>
        </w:rPr>
        <w:t xml:space="preserve">  Fulfilled</w:t>
      </w:r>
      <w:proofErr w:type="gramEnd"/>
      <w:r>
        <w:rPr>
          <w:rFonts w:ascii="Arial" w:hAnsi="Arial" w:cs="Arial"/>
        </w:rPr>
        <w:br/>
      </w:r>
      <w:r w:rsidRPr="00D8065F">
        <w:rPr>
          <w:rFonts w:ascii="Segoe UI Symbol" w:hAnsi="Segoe UI Symbol" w:cs="Segoe UI Symbol"/>
        </w:rPr>
        <w:t>☐</w:t>
      </w:r>
      <w:r w:rsidRPr="00D8065F">
        <w:rPr>
          <w:rFonts w:ascii="Arial" w:hAnsi="Arial" w:cs="Arial"/>
        </w:rPr>
        <w:t xml:space="preserve">  Partially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determined</w:t>
      </w:r>
      <w:r>
        <w:rPr>
          <w:rFonts w:ascii="Arial" w:hAnsi="Arial" w:cs="Arial"/>
        </w:rPr>
        <w:br/>
      </w:r>
    </w:p>
    <w:p w14:paraId="652F6C22" w14:textId="153D9735" w:rsidR="00E25F0A" w:rsidRPr="00D8065F" w:rsidRDefault="00C84325" w:rsidP="008B5FCC">
      <w:pPr>
        <w:spacing w:line="360" w:lineRule="auto"/>
        <w:jc w:val="both"/>
        <w:rPr>
          <w:rFonts w:ascii="Arial" w:hAnsi="Arial" w:cs="Arial"/>
          <w:b/>
          <w:bCs/>
          <w:u w:val="single"/>
        </w:rPr>
      </w:pPr>
      <w:r w:rsidRPr="00D8065F">
        <w:rPr>
          <w:rFonts w:ascii="Arial" w:hAnsi="Arial" w:cs="Arial"/>
          <w:b/>
          <w:bCs/>
          <w:u w:val="single"/>
        </w:rPr>
        <w:lastRenderedPageBreak/>
        <w:t xml:space="preserve">General criteria applicable to all research questions: </w:t>
      </w:r>
    </w:p>
    <w:p w14:paraId="2ECEDD27" w14:textId="3125752D" w:rsidR="00A36CA4" w:rsidRPr="008B5FCC" w:rsidRDefault="00B723FC" w:rsidP="008B5FCC">
      <w:pPr>
        <w:spacing w:line="360" w:lineRule="auto"/>
        <w:jc w:val="both"/>
        <w:rPr>
          <w:rFonts w:ascii="Arial" w:hAnsi="Arial" w:cs="Arial"/>
        </w:rPr>
      </w:pPr>
      <w:r w:rsidRPr="008B5FCC">
        <w:rPr>
          <w:rFonts w:ascii="Arial" w:hAnsi="Arial" w:cs="Arial"/>
        </w:rPr>
        <w:t xml:space="preserve">a series of more generic criteria was created based on the ARRIVE guidelines 2.0 </w:t>
      </w:r>
      <w:r w:rsidRPr="008B5FCC">
        <w:rPr>
          <w:rFonts w:ascii="Arial" w:hAnsi="Arial" w:cs="Arial"/>
        </w:rPr>
        <w:fldChar w:fldCharType="begin" w:fldLock="1"/>
      </w:r>
      <w:r w:rsidRPr="008B5FCC">
        <w:rPr>
          <w:rFonts w:ascii="Arial" w:hAnsi="Arial" w:cs="Arial"/>
        </w:rPr>
        <w:instrText>ADDIN CSL_CITATION {"citationItems":[{"id":"ITEM-1","itemData":{"DOI":"10.1371/journal.pbio.3000411","ISBN":"1111111111","abstract":"Improving the reproducibility of biomedical research is a major challenge. Transparent and accurate reporting is vital to this process; it allows readers to assess the reliability of the findings and repeat or build upon the work of other researchers. The ARRIVE guidelines (Animal Research: Reporting In Vivo Experiments) were developed in 2010 to help authors and journals identify the minimum information necessary to report in publications describing in vivo experiments. Despite widespread endorsement by the scientific community, the impact of ARRIVE on the transparency of reporting in animal research publications has been limited. We have revised the ARRIVE guidelines to update them and facilitate their use in practice. The revised guidelines are published alongside this paper. This explanation and elaboration document was developed as part of the revision. It provides further information about each of the 21 items in ARRIVE 2.0, including the rationale and supporting evidence for their inclusion in the guidelines, elaboration of details to report, and examples of good reporting from the published literature. This document also covers advice and best practice PLOS BIOLOGY PLOS Biology | https://doi.org/10.1371/journal.pbio. Citation: Percie du Sert N, Ahluwalia A, Alam S, Avey MT, Baker M, Browne WJ, et al. (2020) Reporting animal research: Explanation and elaboration for the ARRIVE guidelines 2.0. PLoS Biol 18(7): e3000411.","author":[{"dropping-particle":"","family":"Percie Du Sertid","given":"Nathalie","non-dropping-particle":"","parse-names":false,"suffix":""},{"dropping-particle":"","family":"Ahluwaliaid","given":"Amrita","non-dropping-particle":"","parse-names":false,"suffix":""},{"dropping-particle":"","family":"Alamid","given":"Sabina","non-dropping-particle":"","parse-names":false,"suffix":""},{"dropping-particle":"","family":"Aveyid","given":"Marc T","non-dropping-particle":"","parse-names":false,"suffix":""},{"dropping-particle":"","family":"Baker","given":"Monya","non-dropping-particle":"","parse-names":false,"suffix":""},{"dropping-particle":"","family":"Browneid","given":"William J","non-dropping-particle":"","parse-names":false,"suffix":""},{"dropping-particle":"","family":"Clarkid","given":"Alejandra","non-dropping-particle":"","parse-names":false,"suffix":""},{"dropping-particle":"","family":"Cuthillid","given":"Innes C","non-dropping-particle":"","parse-names":false,"suffix":""},{"dropping-particle":"","family":"Dirnaglid","given":"Ulrich","non-dropping-particle":"","parse-names":false,"suffix":""},{"dropping-particle":"","family":"Emerson","given":"Michael","non-dropping-particle":"","parse-names":false,"suffix":""},{"dropping-particle":"","family":"Garnerid","given":"Paul","non-dropping-particle":"","parse-names":false,"suffix":""},{"dropping-particle":"","family":"Holgate","given":"Stephen T","non-dropping-particle":"","parse-names":false,"suffix":""},{"dropping-particle":"","family":"Howellsid","given":"David W","non-dropping-particle":"","parse-names":false,"suffix":""},{"dropping-particle":"","family":"Hurst","given":"Viki","non-dropping-particle":"","parse-names":false,"suffix":""},{"dropping-particle":"","family":"Karpid","given":"Natasha A","non-dropping-particle":"","parse-names":false,"suffix":""},{"dropping-particle":"","family":"Lazic","given":"Stanley E","non-dropping-particle":"","parse-names":false,"suffix":""},{"dropping-particle":"","family":"Lidster","given":"Katie","non-dropping-particle":"","parse-names":false,"suffix":""},{"dropping-particle":"","family":"Maccallumid","given":"Catriona J","non-dropping-particle":"","parse-names":false,"suffix":""},{"dropping-particle":"","family":"Macleodid","given":"Malcolm","non-dropping-particle":"","parse-names":false,"suffix":""},{"dropping-particle":"","family":"Pearlid","given":"Esther J","non-dropping-particle":"","parse-names":false,"suffix":""},{"dropping-particle":"","family":"Petersen","given":"Ole H","non-dropping-particle":"","parse-names":false,"suffix":""},{"dropping-particle":"","family":"Rawleid","given":"Frances","non-dropping-particle":"","parse-names":false,"suffix":""},{"dropping-particle":"","family":"Reynoldsid","given":"Penny","non-dropping-particle":"","parse-names":false,"suffix":""},{"dropping-particle":"","family":"Rooneyid","given":"Kieron","non-dropping-particle":"","parse-names":false,"suffix":""},{"dropping-particle":"","family":"Senaid","given":"Emily S","non-dropping-particle":"","parse-names":false,"suffix":""},{"dropping-particle":"","family":"Silberberg","given":"Shai D","non-dropping-particle":"","parse-names":false,"suffix":""},{"dropping-particle":"","family":"Stecklerid","given":"Thomas","non-dropping-particle":"","parse-names":false,"suffix":""},{"dropping-particle":"","family":"Wü Rbelid","given":"Hanno","non-dropping-particle":"","parse-names":false,"suffix":""}],"id":"ITEM-1","issued":{"date-parts":[["2020"]]},"title":"Reporting animal research: Explanation and elaboration for the ARRIVE guidelines 2.0","type":"article-journal"},"uris":["http://www.mendeley.com/documents/?uuid=fa9e5143-d2a2-36d4-9995-f13cdbb4f4f4"]}],"mendeley":{"formattedCitation":"(Percie Du Sertid et al., 2020)","plainTextFormattedCitation":"(Percie Du Sertid et al., 2020)","previouslyFormattedCitation":"(Percie Du Sertid et al., 2020)"},"properties":{"noteIndex":0},"schema":"https://github.com/citation-style-language/schema/raw/master/csl-citation.json"}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(Percie Du Sertid et al., 2020)</w:t>
      </w:r>
      <w:r w:rsidRPr="008B5FCC">
        <w:rPr>
          <w:rFonts w:ascii="Arial" w:hAnsi="Arial" w:cs="Arial"/>
        </w:rPr>
        <w:fldChar w:fldCharType="end"/>
      </w:r>
      <w:r w:rsidRPr="008B5FCC">
        <w:rPr>
          <w:rFonts w:ascii="Arial" w:hAnsi="Arial" w:cs="Arial"/>
        </w:rPr>
        <w:t xml:space="preserve"> to assess the quality of experimental design of individual studies</w:t>
      </w:r>
      <w:r w:rsidR="00DD5EEA" w:rsidRPr="008B5FCC">
        <w:rPr>
          <w:rFonts w:ascii="Arial" w:hAnsi="Arial" w:cs="Arial"/>
        </w:rPr>
        <w:t>.</w:t>
      </w:r>
      <w:r w:rsidR="00B56FF5" w:rsidRPr="008B5FCC">
        <w:rPr>
          <w:rFonts w:ascii="Arial" w:hAnsi="Arial" w:cs="Arial"/>
        </w:rPr>
        <w:t xml:space="preserve"> </w:t>
      </w:r>
      <w:r w:rsidR="00D10216" w:rsidRPr="008B5FCC">
        <w:rPr>
          <w:rFonts w:ascii="Arial" w:hAnsi="Arial" w:cs="Arial"/>
        </w:rPr>
        <w:t>Not every criteria in the ARRIVE guidelines were relevant for the conduct of this review</w:t>
      </w:r>
      <w:r w:rsidR="003A683F" w:rsidRPr="008B5FCC">
        <w:rPr>
          <w:rFonts w:ascii="Arial" w:hAnsi="Arial" w:cs="Arial"/>
        </w:rPr>
        <w:t>. T</w:t>
      </w:r>
      <w:r w:rsidR="00F2028B" w:rsidRPr="008B5FCC">
        <w:rPr>
          <w:rFonts w:ascii="Arial" w:hAnsi="Arial" w:cs="Arial"/>
        </w:rPr>
        <w:t xml:space="preserve">he </w:t>
      </w:r>
      <w:r w:rsidR="00DD5EEA" w:rsidRPr="008B5FCC">
        <w:rPr>
          <w:rFonts w:ascii="Arial" w:hAnsi="Arial" w:cs="Arial"/>
        </w:rPr>
        <w:t xml:space="preserve">included </w:t>
      </w:r>
      <w:r w:rsidR="00F2028B" w:rsidRPr="008B5FCC">
        <w:rPr>
          <w:rFonts w:ascii="Arial" w:hAnsi="Arial" w:cs="Arial"/>
        </w:rPr>
        <w:t xml:space="preserve">criteria </w:t>
      </w:r>
      <w:r w:rsidR="00703A07" w:rsidRPr="008B5FCC">
        <w:rPr>
          <w:rFonts w:ascii="Arial" w:hAnsi="Arial" w:cs="Arial"/>
        </w:rPr>
        <w:t>reflect the quality of the study design and</w:t>
      </w:r>
      <w:r w:rsidR="00F2028B" w:rsidRPr="008B5FCC">
        <w:rPr>
          <w:rFonts w:ascii="Arial" w:hAnsi="Arial" w:cs="Arial"/>
        </w:rPr>
        <w:t xml:space="preserve"> </w:t>
      </w:r>
      <w:r w:rsidR="00703A07" w:rsidRPr="008B5FCC">
        <w:rPr>
          <w:rFonts w:ascii="Arial" w:hAnsi="Arial" w:cs="Arial"/>
        </w:rPr>
        <w:t xml:space="preserve">were thus considered as the most appropriate for the type of research this framework aims to assess.  </w:t>
      </w:r>
    </w:p>
    <w:p w14:paraId="538E4BE9" w14:textId="7208AB24" w:rsidR="001E5080" w:rsidRPr="006312B1" w:rsidRDefault="00EE361D" w:rsidP="008B5FCC">
      <w:pPr>
        <w:pStyle w:val="ListParagraph"/>
        <w:numPr>
          <w:ilvl w:val="0"/>
          <w:numId w:val="3"/>
        </w:numPr>
        <w:spacing w:line="360" w:lineRule="auto"/>
        <w:jc w:val="both"/>
        <w:rPr>
          <w:rFonts w:ascii="Arial" w:hAnsi="Arial" w:cs="Arial"/>
        </w:rPr>
      </w:pPr>
      <w:r w:rsidRPr="006312B1">
        <w:rPr>
          <w:rFonts w:ascii="Arial" w:hAnsi="Arial" w:cs="Arial"/>
        </w:rPr>
        <w:t>Randomisation</w:t>
      </w:r>
    </w:p>
    <w:p w14:paraId="1F4DD24F" w14:textId="17D25B50" w:rsidR="00E44513" w:rsidRPr="008B5FCC" w:rsidRDefault="00E44513" w:rsidP="008B5FCC">
      <w:pPr>
        <w:spacing w:line="360" w:lineRule="auto"/>
        <w:jc w:val="both"/>
        <w:rPr>
          <w:rFonts w:ascii="Arial" w:hAnsi="Arial" w:cs="Arial"/>
        </w:rPr>
      </w:pPr>
      <w:r w:rsidRPr="008B5FCC">
        <w:rPr>
          <w:rFonts w:ascii="Arial" w:hAnsi="Arial" w:cs="Arial"/>
        </w:rPr>
        <w:t xml:space="preserve">During the allocation of experimental units to groups, using an appropriate method of randomisation will ensure that each specimen has an equal probability of gaining a treatment. A validated randomisation method can also reduce selection bias and minimise systematic differences amongst the characteristics of animals within different groups </w:t>
      </w:r>
      <w:r w:rsidRPr="008B5FCC">
        <w:rPr>
          <w:rFonts w:ascii="Arial" w:hAnsi="Arial" w:cs="Arial"/>
        </w:rPr>
        <w:fldChar w:fldCharType="begin" w:fldLock="1"/>
      </w:r>
      <w:r w:rsidRPr="008B5FCC">
        <w:rPr>
          <w:rFonts w:ascii="Arial" w:hAnsi="Arial" w:cs="Arial"/>
        </w:rPr>
        <w:instrText>ADDIN CSL_CITATION {"citationItems":[{"id":"ITEM-1","itemData":{"DOI":"10.1371/journal.pbio.3000411","ISBN":"1111111111","abstract":"Improving the reproducibility of biomedical research is a major challenge. Transparent and accurate reporting is vital to this process; it allows readers to assess the reliability of the findings and repeat or build upon the work of other researchers. The ARRIVE guidelines (Animal Research: Reporting In Vivo Experiments) were developed in 2010 to help authors and journals identify the minimum information necessary to report in publications describing in vivo experiments. Despite widespread endorsement by the scientific community, the impact of ARRIVE on the transparency of reporting in animal research publications has been limited. We have revised the ARRIVE guidelines to update them and facilitate their use in practice. The revised guidelines are published alongside this paper. This explanation and elaboration document was developed as part of the revision. It provides further information about each of the 21 items in ARRIVE 2.0, including the rationale and supporting evidence for their inclusion in the guidelines, elaboration of details to report, and examples of good reporting from the published literature. This document also covers advice and best practice PLOS BIOLOGY PLOS Biology | https://doi.org/10.1371/journal.pbio. Citation: Percie du Sert N, Ahluwalia A, Alam S, Avey MT, Baker M, Browne WJ, et al. (2020) Reporting animal research: Explanation and elaboration for the ARRIVE guidelines 2.0. PLoS Biol 18(7): e3000411.","author":[{"dropping-particle":"","family":"Percie Du Sertid","given":"Nathalie","non-dropping-particle":"","parse-names":false,"suffix":""},{"dropping-particle":"","family":"Ahluwaliaid","given":"Amrita","non-dropping-particle":"","parse-names":false,"suffix":""},{"dropping-particle":"","family":"Alamid","given":"Sabina","non-dropping-particle":"","parse-names":false,"suffix":""},{"dropping-particle":"","family":"Aveyid","given":"Marc T","non-dropping-particle":"","parse-names":false,"suffix":""},{"dropping-particle":"","family":"Baker","given":"Monya","non-dropping-particle":"","parse-names":false,"suffix":""},{"dropping-particle":"","family":"Browneid","given":"William J","non-dropping-particle":"","parse-names":false,"suffix":""},{"dropping-particle":"","family":"Clarkid","given":"Alejandra","non-dropping-particle":"","parse-names":false,"suffix":""},{"dropping-particle":"","family":"Cuthillid","given":"Innes C","non-dropping-particle":"","parse-names":false,"suffix":""},{"dropping-particle":"","family":"Dirnaglid","given":"Ulrich","non-dropping-particle":"","parse-names":false,"suffix":""},{"dropping-particle":"","family":"Emerson","given":"Michael","non-dropping-particle":"","parse-names":false,"suffix":""},{"dropping-particle":"","family":"Garnerid","given":"Paul","non-dropping-particle":"","parse-names":false,"suffix":""},{"dropping-particle":"","family":"Holgate","given":"Stephen T","non-dropping-particle":"","parse-names":false,"suffix":""},{"dropping-particle":"","family":"Howellsid","given":"David W","non-dropping-particle":"","parse-names":false,"suffix":""},{"dropping-particle":"","family":"Hurst","given":"Viki","non-dropping-particle":"","parse-names":false,"suffix":""},{"dropping-particle":"","family":"Karpid","given":"Natasha A","non-dropping-particle":"","parse-names":false,"suffix":""},{"dropping-particle":"","family":"Lazic","given":"Stanley E","non-dropping-particle":"","parse-names":false,"suffix":""},{"dropping-particle":"","family":"Lidster","given":"Katie","non-dropping-particle":"","parse-names":false,"suffix":""},{"dropping-particle":"","family":"Maccallumid","given":"Catriona J","non-dropping-particle":"","parse-names":false,"suffix":""},{"dropping-particle":"","family":"Macleodid","given":"Malcolm","non-dropping-particle":"","parse-names":false,"suffix":""},{"dropping-particle":"","family":"Pearlid","given":"Esther J","non-dropping-particle":"","parse-names":false,"suffix":""},{"dropping-particle":"","family":"Petersen","given":"Ole H","non-dropping-particle":"","parse-names":false,"suffix":""},{"dropping-particle":"","family":"Rawleid","given":"Frances","non-dropping-particle":"","parse-names":false,"suffix":""},{"dropping-particle":"","family":"Reynoldsid","given":"Penny","non-dropping-particle":"","parse-names":false,"suffix":""},{"dropping-particle":"","family":"Rooneyid","given":"Kieron","non-dropping-particle":"","parse-names":false,"suffix":""},{"dropping-particle":"","family":"Senaid","given":"Emily S","non-dropping-particle":"","parse-names":false,"suffix":""},{"dropping-particle":"","family":"Silberberg","given":"Shai D","non-dropping-particle":"","parse-names":false,"suffix":""},{"dropping-particle":"","family":"Stecklerid","given":"Thomas","non-dropping-particle":"","parse-names":false,"suffix":""},{"dropping-particle":"","family":"Wü Rbelid","given":"Hanno","non-dropping-particle":"","parse-names":false,"suffix":""}],"id":"ITEM-1","issued":{"date-parts":[["2020"]]},"title":"Reporting animal research: Explanation and elaboration for the ARRIVE guidelines 2.0","type":"article-journal"},"uris":["http://www.mendeley.com/documents/?uuid=fa9e5143-d2a2-36d4-9995-f13cdbb4f4f4"]}],"mendeley":{"formattedCitation":"(Percie Du Sertid et al., 2020)","plainTextFormattedCitation":"(Percie Du Sertid et al., 2020)","previouslyFormattedCitation":"(Percie Du Sertid et al., 2020)"},"properties":{"noteIndex":0},"schema":"https://github.com/citation-style-language/schema/raw/master/csl-citation.json"}</w:instrText>
      </w:r>
      <w:r w:rsidRPr="008B5FCC">
        <w:rPr>
          <w:rFonts w:ascii="Arial" w:hAnsi="Arial" w:cs="Arial"/>
        </w:rPr>
        <w:fldChar w:fldCharType="separate"/>
      </w:r>
      <w:r w:rsidRPr="008B5FCC">
        <w:rPr>
          <w:rFonts w:ascii="Arial" w:hAnsi="Arial" w:cs="Arial"/>
          <w:noProof/>
        </w:rPr>
        <w:t>(Percie Du Sertid et al., 2020)</w:t>
      </w:r>
      <w:r w:rsidRPr="008B5FCC">
        <w:rPr>
          <w:rFonts w:ascii="Arial" w:hAnsi="Arial" w:cs="Arial"/>
        </w:rPr>
        <w:fldChar w:fldCharType="end"/>
      </w:r>
      <w:r w:rsidRPr="008B5FCC">
        <w:rPr>
          <w:rFonts w:ascii="Arial" w:hAnsi="Arial" w:cs="Arial"/>
        </w:rPr>
        <w:t xml:space="preserve">. </w:t>
      </w:r>
    </w:p>
    <w:p w14:paraId="2E78CB6E" w14:textId="7F795ECE" w:rsidR="001E5080" w:rsidRDefault="00A3624D" w:rsidP="008B5FCC">
      <w:pPr>
        <w:pStyle w:val="ListParagraph"/>
        <w:numPr>
          <w:ilvl w:val="0"/>
          <w:numId w:val="4"/>
        </w:numPr>
        <w:spacing w:line="360" w:lineRule="auto"/>
        <w:jc w:val="both"/>
        <w:rPr>
          <w:rFonts w:ascii="Arial" w:hAnsi="Arial" w:cs="Arial"/>
        </w:rPr>
      </w:pPr>
      <w:r w:rsidRPr="008B5FCC">
        <w:rPr>
          <w:rFonts w:ascii="Arial" w:hAnsi="Arial" w:cs="Arial"/>
        </w:rPr>
        <w:t>Was there a type of randomisation used in the study</w:t>
      </w:r>
      <w:r w:rsidR="003B07BD" w:rsidRPr="008B5FCC">
        <w:rPr>
          <w:rFonts w:ascii="Arial" w:hAnsi="Arial" w:cs="Arial"/>
        </w:rPr>
        <w:t xml:space="preserve">, to allocate experimental units </w:t>
      </w:r>
      <w:r w:rsidR="00AC1951" w:rsidRPr="008B5FCC">
        <w:rPr>
          <w:rFonts w:ascii="Arial" w:hAnsi="Arial" w:cs="Arial"/>
        </w:rPr>
        <w:t>to control and treatment groups</w:t>
      </w:r>
      <w:r w:rsidRPr="008B5FCC">
        <w:rPr>
          <w:rFonts w:ascii="Arial" w:hAnsi="Arial" w:cs="Arial"/>
        </w:rPr>
        <w:t>?</w:t>
      </w:r>
    </w:p>
    <w:p w14:paraId="1ECB950B" w14:textId="300B6119" w:rsidR="008C2ACD" w:rsidRPr="008C2ACD" w:rsidRDefault="008C2ACD" w:rsidP="008C2ACD">
      <w:pPr>
        <w:spacing w:line="276" w:lineRule="auto"/>
        <w:ind w:left="360"/>
        <w:rPr>
          <w:rFonts w:ascii="Arial" w:hAnsi="Arial" w:cs="Arial"/>
        </w:rPr>
      </w:pPr>
      <w:proofErr w:type="gramStart"/>
      <w:r w:rsidRPr="00D8065F">
        <w:rPr>
          <w:rFonts w:ascii="Segoe UI Symbol" w:hAnsi="Segoe UI Symbol" w:cs="Segoe UI Symbol"/>
        </w:rPr>
        <w:t>☐</w:t>
      </w:r>
      <w:r w:rsidRPr="00D8065F">
        <w:rPr>
          <w:rFonts w:ascii="Arial" w:hAnsi="Arial" w:cs="Arial"/>
        </w:rPr>
        <w:t xml:space="preserve">  Fulfilled</w:t>
      </w:r>
      <w:proofErr w:type="gramEnd"/>
      <w:r>
        <w:rPr>
          <w:rFonts w:ascii="Arial" w:hAnsi="Arial" w:cs="Arial"/>
        </w:rPr>
        <w:br/>
      </w:r>
      <w:r w:rsidRPr="00D8065F">
        <w:rPr>
          <w:rFonts w:ascii="Segoe UI Symbol" w:hAnsi="Segoe UI Symbol" w:cs="Segoe UI Symbol"/>
        </w:rPr>
        <w:t>☐</w:t>
      </w:r>
      <w:r w:rsidRPr="00D8065F">
        <w:rPr>
          <w:rFonts w:ascii="Arial" w:hAnsi="Arial" w:cs="Arial"/>
        </w:rPr>
        <w:t xml:space="preserve">  Partially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fulfilled</w:t>
      </w:r>
      <w:r>
        <w:rPr>
          <w:rFonts w:ascii="Arial" w:hAnsi="Arial" w:cs="Arial"/>
        </w:rPr>
        <w:br/>
      </w:r>
      <w:r w:rsidRPr="00D8065F">
        <w:rPr>
          <w:rFonts w:ascii="Segoe UI Symbol" w:hAnsi="Segoe UI Symbol" w:cs="Segoe UI Symbol"/>
        </w:rPr>
        <w:t>☐</w:t>
      </w:r>
      <w:r w:rsidRPr="00D8065F">
        <w:rPr>
          <w:rFonts w:ascii="Arial" w:hAnsi="Arial" w:cs="Arial"/>
        </w:rPr>
        <w:t xml:space="preserve">  Not determined</w:t>
      </w:r>
      <w:r>
        <w:rPr>
          <w:rFonts w:ascii="Arial" w:hAnsi="Arial" w:cs="Arial"/>
        </w:rPr>
        <w:br/>
      </w:r>
    </w:p>
    <w:p w14:paraId="33622E15" w14:textId="166F75B9" w:rsidR="006259CC" w:rsidRPr="006312B1" w:rsidRDefault="00242EAF" w:rsidP="008B5FCC">
      <w:pPr>
        <w:pStyle w:val="ListParagraph"/>
        <w:numPr>
          <w:ilvl w:val="0"/>
          <w:numId w:val="3"/>
        </w:numPr>
        <w:spacing w:line="360" w:lineRule="auto"/>
        <w:jc w:val="both"/>
        <w:rPr>
          <w:rFonts w:ascii="Arial" w:hAnsi="Arial" w:cs="Arial"/>
        </w:rPr>
      </w:pPr>
      <w:r w:rsidRPr="006312B1">
        <w:rPr>
          <w:rFonts w:ascii="Arial" w:hAnsi="Arial" w:cs="Arial"/>
        </w:rPr>
        <w:t>Strategy used to minimise potential confounders:</w:t>
      </w:r>
    </w:p>
    <w:p w14:paraId="182D2277" w14:textId="77777777" w:rsidR="006259CC" w:rsidRPr="008B5FCC" w:rsidRDefault="006259CC" w:rsidP="008B5FCC">
      <w:pPr>
        <w:spacing w:line="360" w:lineRule="auto"/>
        <w:jc w:val="both"/>
        <w:rPr>
          <w:rFonts w:ascii="Arial" w:hAnsi="Arial" w:cs="Arial"/>
        </w:rPr>
      </w:pPr>
      <w:r w:rsidRPr="008B5FCC">
        <w:rPr>
          <w:rFonts w:ascii="Arial" w:hAnsi="Arial" w:cs="Arial"/>
        </w:rPr>
        <w:t xml:space="preserve">Eliminating systematic differences between animals within different groups is a key principle during the conduct of an experiment. The sensitivity of an experiment could be increased through the identification and management of nuisance variables in the study design and analysis. Hence, reporting any approaches taken to minimise potential confounders between treatment groups that could possibly arise, helps to eliminate </w:t>
      </w:r>
      <w:proofErr w:type="gramStart"/>
      <w:r w:rsidRPr="008B5FCC">
        <w:rPr>
          <w:rFonts w:ascii="Arial" w:hAnsi="Arial" w:cs="Arial"/>
        </w:rPr>
        <w:t>bias</w:t>
      </w:r>
      <w:proofErr w:type="gramEnd"/>
      <w:r w:rsidRPr="008B5FCC">
        <w:rPr>
          <w:rFonts w:ascii="Arial" w:hAnsi="Arial" w:cs="Arial"/>
        </w:rPr>
        <w:t xml:space="preserve"> and enables other researchers to assess the internal validity of the study. </w:t>
      </w:r>
    </w:p>
    <w:p w14:paraId="7BA42B06" w14:textId="424B8BF3" w:rsidR="001E5080" w:rsidRDefault="00651851" w:rsidP="008B5FCC">
      <w:pPr>
        <w:pStyle w:val="ListParagraph"/>
        <w:numPr>
          <w:ilvl w:val="0"/>
          <w:numId w:val="4"/>
        </w:numPr>
        <w:spacing w:line="360" w:lineRule="auto"/>
        <w:jc w:val="both"/>
        <w:rPr>
          <w:rFonts w:ascii="Arial" w:hAnsi="Arial" w:cs="Arial"/>
        </w:rPr>
      </w:pPr>
      <w:r w:rsidRPr="008B5FCC">
        <w:rPr>
          <w:rFonts w:ascii="Arial" w:hAnsi="Arial" w:cs="Arial"/>
        </w:rPr>
        <w:t xml:space="preserve">Were there any methods used to minimised confounding factors alongside the methods used to allocate animals to groups? </w:t>
      </w:r>
      <w:r w:rsidR="00903295" w:rsidRPr="008B5FCC">
        <w:rPr>
          <w:rFonts w:ascii="Arial" w:hAnsi="Arial" w:cs="Arial"/>
        </w:rPr>
        <w:t>If no measures were used to minimise confounders (</w:t>
      </w:r>
      <w:proofErr w:type="gramStart"/>
      <w:r w:rsidR="00903295" w:rsidRPr="008B5FCC">
        <w:rPr>
          <w:rFonts w:ascii="Arial" w:hAnsi="Arial" w:cs="Arial"/>
        </w:rPr>
        <w:t>e.g.</w:t>
      </w:r>
      <w:proofErr w:type="gramEnd"/>
      <w:r w:rsidR="00903295" w:rsidRPr="008B5FCC">
        <w:rPr>
          <w:rFonts w:ascii="Arial" w:hAnsi="Arial" w:cs="Arial"/>
        </w:rPr>
        <w:t xml:space="preserve"> treatment order, measurement order, cage or tank position on a rack), was this explicitly stated and clearly explained?</w:t>
      </w:r>
    </w:p>
    <w:p w14:paraId="5095A82B" w14:textId="3A8EC44D" w:rsidR="00364AA0" w:rsidRPr="008C2ACD" w:rsidRDefault="008C2ACD" w:rsidP="006C5864">
      <w:pPr>
        <w:spacing w:line="276" w:lineRule="auto"/>
        <w:ind w:left="360"/>
        <w:rPr>
          <w:rFonts w:ascii="Arial" w:hAnsi="Arial" w:cs="Arial"/>
        </w:rPr>
      </w:pPr>
      <w:proofErr w:type="gramStart"/>
      <w:r w:rsidRPr="008C2ACD">
        <w:rPr>
          <w:rFonts w:ascii="Segoe UI Symbol" w:hAnsi="Segoe UI Symbol" w:cs="Segoe UI Symbol"/>
        </w:rPr>
        <w:t>☐</w:t>
      </w:r>
      <w:r w:rsidRPr="008C2ACD">
        <w:rPr>
          <w:rFonts w:ascii="Arial" w:hAnsi="Arial" w:cs="Arial"/>
        </w:rPr>
        <w:t xml:space="preserve">  Fulfilled</w:t>
      </w:r>
      <w:proofErr w:type="gramEnd"/>
      <w:r w:rsidRPr="008C2ACD">
        <w:rPr>
          <w:rFonts w:ascii="Arial" w:hAnsi="Arial" w:cs="Arial"/>
        </w:rPr>
        <w:br/>
      </w:r>
      <w:r w:rsidRPr="008C2ACD">
        <w:rPr>
          <w:rFonts w:ascii="Segoe UI Symbol" w:hAnsi="Segoe UI Symbol" w:cs="Segoe UI Symbol"/>
        </w:rPr>
        <w:t>☐</w:t>
      </w:r>
      <w:r w:rsidRPr="008C2ACD">
        <w:rPr>
          <w:rFonts w:ascii="Arial" w:hAnsi="Arial" w:cs="Arial"/>
        </w:rPr>
        <w:t xml:space="preserve">  Partially fulfilled</w:t>
      </w:r>
      <w:r w:rsidRPr="008C2ACD">
        <w:rPr>
          <w:rFonts w:ascii="Arial" w:hAnsi="Arial" w:cs="Arial"/>
        </w:rPr>
        <w:br/>
      </w:r>
      <w:r w:rsidRPr="008C2ACD">
        <w:rPr>
          <w:rFonts w:ascii="Segoe UI Symbol" w:hAnsi="Segoe UI Symbol" w:cs="Segoe UI Symbol"/>
        </w:rPr>
        <w:t>☐</w:t>
      </w:r>
      <w:r w:rsidRPr="008C2ACD">
        <w:rPr>
          <w:rFonts w:ascii="Arial" w:hAnsi="Arial" w:cs="Arial"/>
        </w:rPr>
        <w:t xml:space="preserve">  Not fulfilled</w:t>
      </w:r>
      <w:r w:rsidRPr="008C2ACD">
        <w:rPr>
          <w:rFonts w:ascii="Arial" w:hAnsi="Arial" w:cs="Arial"/>
        </w:rPr>
        <w:br/>
      </w:r>
      <w:r w:rsidRPr="008C2ACD">
        <w:rPr>
          <w:rFonts w:ascii="Segoe UI Symbol" w:hAnsi="Segoe UI Symbol" w:cs="Segoe UI Symbol"/>
        </w:rPr>
        <w:t>☐</w:t>
      </w:r>
      <w:r w:rsidRPr="008C2ACD">
        <w:rPr>
          <w:rFonts w:ascii="Arial" w:hAnsi="Arial" w:cs="Arial"/>
        </w:rPr>
        <w:t xml:space="preserve">  Not determined</w:t>
      </w:r>
    </w:p>
    <w:p w14:paraId="63505719" w14:textId="77777777" w:rsidR="00142AAD" w:rsidRPr="006312B1" w:rsidRDefault="002667D8" w:rsidP="00723AD5">
      <w:pPr>
        <w:pStyle w:val="ListParagraph"/>
        <w:numPr>
          <w:ilvl w:val="0"/>
          <w:numId w:val="3"/>
        </w:numPr>
        <w:spacing w:line="360" w:lineRule="auto"/>
        <w:jc w:val="both"/>
        <w:rPr>
          <w:rFonts w:ascii="Arial" w:hAnsi="Arial" w:cs="Arial"/>
        </w:rPr>
      </w:pPr>
      <w:r w:rsidRPr="006312B1">
        <w:rPr>
          <w:rFonts w:ascii="Arial" w:hAnsi="Arial" w:cs="Arial"/>
        </w:rPr>
        <w:lastRenderedPageBreak/>
        <w:t>Within</w:t>
      </w:r>
      <w:r w:rsidR="00F452F1" w:rsidRPr="006312B1">
        <w:rPr>
          <w:rFonts w:ascii="Arial" w:hAnsi="Arial" w:cs="Arial"/>
        </w:rPr>
        <w:t>-study or between-study r</w:t>
      </w:r>
      <w:r w:rsidRPr="006312B1">
        <w:rPr>
          <w:rFonts w:ascii="Arial" w:hAnsi="Arial" w:cs="Arial"/>
        </w:rPr>
        <w:t>epetition</w:t>
      </w:r>
    </w:p>
    <w:p w14:paraId="6D8F1183" w14:textId="11F5B391" w:rsidR="00142AAD" w:rsidRPr="00723AD5" w:rsidRDefault="00142AAD" w:rsidP="00723AD5">
      <w:pPr>
        <w:spacing w:line="360" w:lineRule="auto"/>
        <w:jc w:val="both"/>
        <w:rPr>
          <w:rFonts w:ascii="Arial" w:hAnsi="Arial" w:cs="Arial"/>
        </w:rPr>
      </w:pPr>
      <w:r w:rsidRPr="008B5FCC">
        <w:rPr>
          <w:rFonts w:ascii="Arial" w:hAnsi="Arial" w:cs="Arial"/>
        </w:rPr>
        <w:t xml:space="preserve">Study repetition occurs when several sets of measurements are conducted during one scientific investigation. Repeating scientific findings helps to verify the accuracy and reliability of results and allows researchers to discover potential errors that might exist in the data. Thus, within-study or between-study repetition is an important practice in scientific research which can be applied to identify and minimise performance bias. </w:t>
      </w:r>
    </w:p>
    <w:p w14:paraId="45A34BE3" w14:textId="7A163BAF" w:rsidR="00CC0A64" w:rsidRDefault="00E82CB2" w:rsidP="008B5FCC">
      <w:pPr>
        <w:pStyle w:val="ListParagraph"/>
        <w:numPr>
          <w:ilvl w:val="0"/>
          <w:numId w:val="4"/>
        </w:numPr>
        <w:spacing w:line="360" w:lineRule="auto"/>
        <w:jc w:val="both"/>
        <w:rPr>
          <w:rFonts w:ascii="Arial" w:hAnsi="Arial" w:cs="Arial"/>
        </w:rPr>
      </w:pPr>
      <w:r w:rsidRPr="008B5FCC">
        <w:rPr>
          <w:rFonts w:ascii="Arial" w:hAnsi="Arial" w:cs="Arial"/>
        </w:rPr>
        <w:t xml:space="preserve">Please state whether the </w:t>
      </w:r>
      <w:r w:rsidR="007F71F6" w:rsidRPr="008B5FCC">
        <w:rPr>
          <w:rFonts w:ascii="Arial" w:hAnsi="Arial" w:cs="Arial"/>
        </w:rPr>
        <w:t xml:space="preserve">study attempted to repeat any findings “within-study” </w:t>
      </w:r>
      <w:r w:rsidR="00F452F1" w:rsidRPr="008B5FCC">
        <w:rPr>
          <w:rFonts w:ascii="Arial" w:hAnsi="Arial" w:cs="Arial"/>
        </w:rPr>
        <w:t>or “between study”</w:t>
      </w:r>
      <w:r w:rsidRPr="008B5FCC">
        <w:rPr>
          <w:rFonts w:ascii="Arial" w:hAnsi="Arial" w:cs="Arial"/>
        </w:rPr>
        <w:t xml:space="preserve">. </w:t>
      </w:r>
      <w:r w:rsidR="00F452F1" w:rsidRPr="008B5FCC">
        <w:rPr>
          <w:rFonts w:ascii="Arial" w:hAnsi="Arial" w:cs="Arial"/>
        </w:rPr>
        <w:t xml:space="preserve">Some studies might </w:t>
      </w:r>
      <w:r w:rsidRPr="008B5FCC">
        <w:rPr>
          <w:rFonts w:ascii="Arial" w:hAnsi="Arial" w:cs="Arial"/>
        </w:rPr>
        <w:t xml:space="preserve">repeat procedures several times, </w:t>
      </w:r>
      <w:r w:rsidR="00A07429" w:rsidRPr="008B5FCC">
        <w:rPr>
          <w:rFonts w:ascii="Arial" w:hAnsi="Arial" w:cs="Arial"/>
        </w:rPr>
        <w:t xml:space="preserve">however, </w:t>
      </w:r>
      <w:r w:rsidR="00F452F1" w:rsidRPr="008B5FCC">
        <w:rPr>
          <w:rFonts w:ascii="Arial" w:hAnsi="Arial" w:cs="Arial"/>
        </w:rPr>
        <w:t>if t</w:t>
      </w:r>
      <w:r w:rsidRPr="008B5FCC">
        <w:rPr>
          <w:rFonts w:ascii="Arial" w:hAnsi="Arial" w:cs="Arial"/>
        </w:rPr>
        <w:t>he results were combined for statistical analysis</w:t>
      </w:r>
      <w:r w:rsidR="004E4A25" w:rsidRPr="008B5FCC">
        <w:rPr>
          <w:rFonts w:ascii="Arial" w:hAnsi="Arial" w:cs="Arial"/>
        </w:rPr>
        <w:t xml:space="preserve"> </w:t>
      </w:r>
      <w:r w:rsidR="00F452F1" w:rsidRPr="008B5FCC">
        <w:rPr>
          <w:rFonts w:ascii="Arial" w:hAnsi="Arial" w:cs="Arial"/>
        </w:rPr>
        <w:t xml:space="preserve">that means </w:t>
      </w:r>
      <w:r w:rsidRPr="008B5FCC">
        <w:rPr>
          <w:rFonts w:ascii="Arial" w:hAnsi="Arial" w:cs="Arial"/>
        </w:rPr>
        <w:t>they were effectively part of a single experiment</w:t>
      </w:r>
      <w:r w:rsidR="00FC06B8" w:rsidRPr="008B5FCC">
        <w:rPr>
          <w:rFonts w:ascii="Arial" w:hAnsi="Arial" w:cs="Arial"/>
        </w:rPr>
        <w:t xml:space="preserve"> (</w:t>
      </w:r>
      <w:proofErr w:type="gramStart"/>
      <w:r w:rsidR="00FC06B8" w:rsidRPr="008B5FCC">
        <w:rPr>
          <w:rFonts w:ascii="Arial" w:hAnsi="Arial" w:cs="Arial"/>
        </w:rPr>
        <w:t>i.e.</w:t>
      </w:r>
      <w:proofErr w:type="gramEnd"/>
      <w:r w:rsidR="00FC06B8" w:rsidRPr="008B5FCC">
        <w:rPr>
          <w:rFonts w:ascii="Arial" w:hAnsi="Arial" w:cs="Arial"/>
        </w:rPr>
        <w:t xml:space="preserve"> no repetition)</w:t>
      </w:r>
      <w:r w:rsidRPr="008B5FCC">
        <w:rPr>
          <w:rFonts w:ascii="Arial" w:hAnsi="Arial" w:cs="Arial"/>
        </w:rPr>
        <w:t xml:space="preserve">. </w:t>
      </w:r>
    </w:p>
    <w:p w14:paraId="3E0113CF" w14:textId="4A4457CF" w:rsidR="008C2ACD" w:rsidRPr="008C2ACD" w:rsidRDefault="008C2ACD" w:rsidP="008C2ACD">
      <w:pPr>
        <w:spacing w:line="276" w:lineRule="auto"/>
        <w:ind w:left="360"/>
        <w:rPr>
          <w:rFonts w:ascii="Arial" w:hAnsi="Arial" w:cs="Arial"/>
        </w:rPr>
      </w:pPr>
      <w:proofErr w:type="gramStart"/>
      <w:r w:rsidRPr="008C2ACD">
        <w:rPr>
          <w:rFonts w:ascii="Segoe UI Symbol" w:hAnsi="Segoe UI Symbol" w:cs="Segoe UI Symbol"/>
        </w:rPr>
        <w:t>☐</w:t>
      </w:r>
      <w:r w:rsidRPr="008C2ACD">
        <w:rPr>
          <w:rFonts w:ascii="Arial" w:hAnsi="Arial" w:cs="Arial"/>
        </w:rPr>
        <w:t xml:space="preserve">  Fulfilled</w:t>
      </w:r>
      <w:proofErr w:type="gramEnd"/>
      <w:r w:rsidRPr="008C2ACD">
        <w:rPr>
          <w:rFonts w:ascii="Arial" w:hAnsi="Arial" w:cs="Arial"/>
        </w:rPr>
        <w:br/>
      </w:r>
      <w:r w:rsidRPr="008C2ACD">
        <w:rPr>
          <w:rFonts w:ascii="Segoe UI Symbol" w:hAnsi="Segoe UI Symbol" w:cs="Segoe UI Symbol"/>
        </w:rPr>
        <w:t>☐</w:t>
      </w:r>
      <w:r w:rsidRPr="008C2ACD">
        <w:rPr>
          <w:rFonts w:ascii="Arial" w:hAnsi="Arial" w:cs="Arial"/>
        </w:rPr>
        <w:t xml:space="preserve">  Partially fulfilled</w:t>
      </w:r>
      <w:r w:rsidRPr="008C2ACD">
        <w:rPr>
          <w:rFonts w:ascii="Arial" w:hAnsi="Arial" w:cs="Arial"/>
        </w:rPr>
        <w:br/>
      </w:r>
      <w:r w:rsidRPr="008C2ACD">
        <w:rPr>
          <w:rFonts w:ascii="Segoe UI Symbol" w:hAnsi="Segoe UI Symbol" w:cs="Segoe UI Symbol"/>
        </w:rPr>
        <w:t>☐</w:t>
      </w:r>
      <w:r w:rsidRPr="008C2ACD">
        <w:rPr>
          <w:rFonts w:ascii="Arial" w:hAnsi="Arial" w:cs="Arial"/>
        </w:rPr>
        <w:t xml:space="preserve">  Not fulfilled</w:t>
      </w:r>
      <w:r w:rsidRPr="008C2ACD">
        <w:rPr>
          <w:rFonts w:ascii="Arial" w:hAnsi="Arial" w:cs="Arial"/>
        </w:rPr>
        <w:br/>
      </w:r>
      <w:r w:rsidRPr="008C2ACD">
        <w:rPr>
          <w:rFonts w:ascii="Segoe UI Symbol" w:hAnsi="Segoe UI Symbol" w:cs="Segoe UI Symbol"/>
        </w:rPr>
        <w:t>☐</w:t>
      </w:r>
      <w:r w:rsidRPr="008C2ACD">
        <w:rPr>
          <w:rFonts w:ascii="Arial" w:hAnsi="Arial" w:cs="Arial"/>
        </w:rPr>
        <w:t xml:space="preserve">  Not determined</w:t>
      </w:r>
      <w:r>
        <w:rPr>
          <w:rFonts w:ascii="Arial" w:hAnsi="Arial" w:cs="Arial"/>
        </w:rPr>
        <w:br/>
      </w:r>
    </w:p>
    <w:p w14:paraId="574DEA06" w14:textId="2E3E631C" w:rsidR="00B210B8" w:rsidRPr="006312B1" w:rsidRDefault="00B87B6F" w:rsidP="00723AD5">
      <w:pPr>
        <w:pStyle w:val="ListParagraph"/>
        <w:numPr>
          <w:ilvl w:val="0"/>
          <w:numId w:val="3"/>
        </w:numPr>
        <w:spacing w:line="360" w:lineRule="auto"/>
        <w:jc w:val="both"/>
        <w:rPr>
          <w:rFonts w:ascii="Arial" w:hAnsi="Arial" w:cs="Arial"/>
        </w:rPr>
      </w:pPr>
      <w:r w:rsidRPr="006312B1">
        <w:rPr>
          <w:rFonts w:ascii="Arial" w:hAnsi="Arial" w:cs="Arial"/>
        </w:rPr>
        <w:t>Independent verification:</w:t>
      </w:r>
    </w:p>
    <w:p w14:paraId="254C5F85" w14:textId="5EA507E9" w:rsidR="00B210B8" w:rsidRPr="008B5FCC" w:rsidRDefault="00B210B8" w:rsidP="008B5FCC">
      <w:pPr>
        <w:spacing w:line="360" w:lineRule="auto"/>
        <w:jc w:val="both"/>
        <w:rPr>
          <w:rFonts w:ascii="Arial" w:hAnsi="Arial" w:cs="Arial"/>
        </w:rPr>
      </w:pPr>
      <w:r w:rsidRPr="008B5FCC">
        <w:rPr>
          <w:rFonts w:ascii="Arial" w:hAnsi="Arial" w:cs="Arial"/>
        </w:rPr>
        <w:t>In order for any scientific finding to be accepted it should also be independently verifiable (</w:t>
      </w:r>
      <w:proofErr w:type="gramStart"/>
      <w:r w:rsidRPr="008B5FCC">
        <w:rPr>
          <w:rFonts w:ascii="Arial" w:hAnsi="Arial" w:cs="Arial"/>
        </w:rPr>
        <w:t>i.e.</w:t>
      </w:r>
      <w:proofErr w:type="gramEnd"/>
      <w:r w:rsidRPr="008B5FCC">
        <w:rPr>
          <w:rFonts w:ascii="Arial" w:hAnsi="Arial" w:cs="Arial"/>
        </w:rPr>
        <w:t xml:space="preserve"> it can be repeated by another researcher or group of researchers). Hence, the only way that one can be completely certain about the reliability of findings, is to be given evidence that the results are repeatable within and between research groups (Scott, 2013).</w:t>
      </w:r>
    </w:p>
    <w:p w14:paraId="5E8AE9DB" w14:textId="6317DB7E" w:rsidR="00CC0A64" w:rsidRPr="008B5FCC" w:rsidRDefault="00AB2E2A" w:rsidP="008B5FCC">
      <w:pPr>
        <w:pStyle w:val="ListParagraph"/>
        <w:numPr>
          <w:ilvl w:val="0"/>
          <w:numId w:val="4"/>
        </w:numPr>
        <w:spacing w:line="360" w:lineRule="auto"/>
        <w:jc w:val="both"/>
        <w:rPr>
          <w:rFonts w:ascii="Arial" w:hAnsi="Arial" w:cs="Arial"/>
        </w:rPr>
      </w:pPr>
      <w:r w:rsidRPr="008B5FCC">
        <w:rPr>
          <w:rFonts w:ascii="Arial" w:hAnsi="Arial" w:cs="Arial"/>
        </w:rPr>
        <w:t>Was the finding independently verified?</w:t>
      </w:r>
    </w:p>
    <w:p w14:paraId="588035F5" w14:textId="32EFAA85" w:rsidR="000E4896" w:rsidRPr="008B5FCC" w:rsidRDefault="008C2ACD" w:rsidP="008C2ACD">
      <w:pPr>
        <w:spacing w:line="276" w:lineRule="auto"/>
        <w:ind w:left="360"/>
        <w:rPr>
          <w:rFonts w:ascii="Arial" w:hAnsi="Arial" w:cs="Arial"/>
        </w:rPr>
      </w:pPr>
      <w:proofErr w:type="gramStart"/>
      <w:r w:rsidRPr="008C2ACD">
        <w:rPr>
          <w:rFonts w:ascii="Segoe UI Symbol" w:hAnsi="Segoe UI Symbol" w:cs="Segoe UI Symbol"/>
        </w:rPr>
        <w:t>☐</w:t>
      </w:r>
      <w:r w:rsidRPr="008C2ACD">
        <w:rPr>
          <w:rFonts w:ascii="Arial" w:hAnsi="Arial" w:cs="Arial"/>
        </w:rPr>
        <w:t xml:space="preserve">  Fulfilled</w:t>
      </w:r>
      <w:proofErr w:type="gramEnd"/>
      <w:r w:rsidRPr="008C2ACD">
        <w:rPr>
          <w:rFonts w:ascii="Arial" w:hAnsi="Arial" w:cs="Arial"/>
        </w:rPr>
        <w:br/>
      </w:r>
      <w:r w:rsidRPr="008C2ACD">
        <w:rPr>
          <w:rFonts w:ascii="Segoe UI Symbol" w:hAnsi="Segoe UI Symbol" w:cs="Segoe UI Symbol"/>
        </w:rPr>
        <w:t>☐</w:t>
      </w:r>
      <w:r w:rsidRPr="008C2ACD">
        <w:rPr>
          <w:rFonts w:ascii="Arial" w:hAnsi="Arial" w:cs="Arial"/>
        </w:rPr>
        <w:t xml:space="preserve">  Partially fulfilled</w:t>
      </w:r>
      <w:r w:rsidRPr="008C2ACD">
        <w:rPr>
          <w:rFonts w:ascii="Arial" w:hAnsi="Arial" w:cs="Arial"/>
        </w:rPr>
        <w:br/>
      </w:r>
      <w:r w:rsidRPr="008C2ACD">
        <w:rPr>
          <w:rFonts w:ascii="Segoe UI Symbol" w:hAnsi="Segoe UI Symbol" w:cs="Segoe UI Symbol"/>
        </w:rPr>
        <w:t>☐</w:t>
      </w:r>
      <w:r w:rsidRPr="008C2ACD">
        <w:rPr>
          <w:rFonts w:ascii="Arial" w:hAnsi="Arial" w:cs="Arial"/>
        </w:rPr>
        <w:t xml:space="preserve">  Not fulfilled</w:t>
      </w:r>
      <w:r w:rsidRPr="008C2ACD">
        <w:rPr>
          <w:rFonts w:ascii="Arial" w:hAnsi="Arial" w:cs="Arial"/>
        </w:rPr>
        <w:br/>
      </w:r>
      <w:r w:rsidRPr="008C2ACD">
        <w:rPr>
          <w:rFonts w:ascii="Segoe UI Symbol" w:hAnsi="Segoe UI Symbol" w:cs="Segoe UI Symbol"/>
        </w:rPr>
        <w:t>☐</w:t>
      </w:r>
      <w:r w:rsidRPr="008C2ACD">
        <w:rPr>
          <w:rFonts w:ascii="Arial" w:hAnsi="Arial" w:cs="Arial"/>
        </w:rPr>
        <w:t xml:space="preserve">  Not determined</w:t>
      </w:r>
      <w:r>
        <w:rPr>
          <w:rFonts w:ascii="Arial" w:hAnsi="Arial" w:cs="Arial"/>
        </w:rPr>
        <w:br/>
      </w:r>
    </w:p>
    <w:p w14:paraId="40871D24" w14:textId="64F8E853" w:rsidR="008B5FCC" w:rsidRPr="006312B1" w:rsidRDefault="00113484" w:rsidP="008B5FCC">
      <w:pPr>
        <w:pStyle w:val="ListParagraph"/>
        <w:numPr>
          <w:ilvl w:val="0"/>
          <w:numId w:val="3"/>
        </w:numPr>
        <w:spacing w:line="360" w:lineRule="auto"/>
        <w:jc w:val="both"/>
        <w:rPr>
          <w:rFonts w:ascii="Arial" w:hAnsi="Arial" w:cs="Arial"/>
        </w:rPr>
      </w:pPr>
      <w:r w:rsidRPr="006312B1">
        <w:rPr>
          <w:rFonts w:ascii="Arial" w:hAnsi="Arial" w:cs="Arial"/>
        </w:rPr>
        <w:t>Statistics</w:t>
      </w:r>
    </w:p>
    <w:p w14:paraId="2AD96B85" w14:textId="0EA73ACA" w:rsidR="000E4896" w:rsidRPr="008B5FCC" w:rsidRDefault="000E4896" w:rsidP="008B5FCC">
      <w:pPr>
        <w:spacing w:line="360" w:lineRule="auto"/>
        <w:jc w:val="both"/>
        <w:rPr>
          <w:rFonts w:ascii="Arial" w:hAnsi="Arial" w:cs="Arial"/>
        </w:rPr>
      </w:pPr>
      <w:r w:rsidRPr="008B5FCC">
        <w:rPr>
          <w:rFonts w:ascii="Arial" w:hAnsi="Arial" w:cs="Arial"/>
        </w:rPr>
        <w:t xml:space="preserve">Depending on the study, the results and analytical approaches taken might vary. A detailed description of the analytical methods used is essential to ensure that readers and peer-reviewers can evaluate the suitability of the methods selected and assess the validity of the results. Any description of statistical analysis should contain adequate information so that another investigator could be able to obtain the same results by re-analysing the raw data using the same methodology. </w:t>
      </w:r>
    </w:p>
    <w:p w14:paraId="6B903C7E" w14:textId="535E63F9" w:rsidR="00C84325" w:rsidRPr="008B5FCC" w:rsidRDefault="00C84325" w:rsidP="008B5FCC">
      <w:pPr>
        <w:pStyle w:val="ListParagraph"/>
        <w:numPr>
          <w:ilvl w:val="0"/>
          <w:numId w:val="19"/>
        </w:numPr>
        <w:spacing w:line="360" w:lineRule="auto"/>
        <w:jc w:val="both"/>
        <w:rPr>
          <w:rFonts w:ascii="Arial" w:hAnsi="Arial" w:cs="Arial"/>
        </w:rPr>
      </w:pPr>
      <w:r w:rsidRPr="008B5FCC">
        <w:rPr>
          <w:rFonts w:ascii="Arial" w:hAnsi="Arial" w:cs="Arial"/>
        </w:rPr>
        <w:lastRenderedPageBreak/>
        <w:t>Were the statistical methods used in the study accurate and adequate?</w:t>
      </w:r>
      <w:r w:rsidR="0078785A">
        <w:rPr>
          <w:rFonts w:ascii="Arial" w:hAnsi="Arial" w:cs="Arial"/>
        </w:rPr>
        <w:t xml:space="preserve"> </w:t>
      </w:r>
      <w:r w:rsidR="00462781">
        <w:rPr>
          <w:rFonts w:ascii="Arial" w:hAnsi="Arial" w:cs="Arial"/>
        </w:rPr>
        <w:t>Was</w:t>
      </w:r>
      <w:r w:rsidR="0078785A">
        <w:rPr>
          <w:rFonts w:ascii="Arial" w:hAnsi="Arial" w:cs="Arial"/>
        </w:rPr>
        <w:t xml:space="preserve"> there more than one statistical analysis use</w:t>
      </w:r>
      <w:r w:rsidR="005714AB">
        <w:rPr>
          <w:rFonts w:ascii="Arial" w:hAnsi="Arial" w:cs="Arial"/>
        </w:rPr>
        <w:t>d for each research question? Were the reported findings supported by all statistical analyses used?</w:t>
      </w:r>
    </w:p>
    <w:p w14:paraId="18FD4062" w14:textId="77777777" w:rsidR="008C2ACD" w:rsidRPr="008C2ACD" w:rsidRDefault="008C2ACD" w:rsidP="008C2ACD">
      <w:pPr>
        <w:spacing w:line="276" w:lineRule="auto"/>
        <w:ind w:left="284"/>
        <w:rPr>
          <w:rFonts w:ascii="Arial" w:hAnsi="Arial" w:cs="Arial"/>
        </w:rPr>
      </w:pPr>
      <w:proofErr w:type="gramStart"/>
      <w:r w:rsidRPr="008C2ACD">
        <w:rPr>
          <w:rFonts w:ascii="Segoe UI Symbol" w:hAnsi="Segoe UI Symbol" w:cs="Segoe UI Symbol"/>
        </w:rPr>
        <w:t>☐</w:t>
      </w:r>
      <w:r w:rsidRPr="008C2ACD">
        <w:rPr>
          <w:rFonts w:ascii="Arial" w:hAnsi="Arial" w:cs="Arial"/>
        </w:rPr>
        <w:t xml:space="preserve">  Fulfilled</w:t>
      </w:r>
      <w:proofErr w:type="gramEnd"/>
      <w:r w:rsidRPr="008C2ACD">
        <w:rPr>
          <w:rFonts w:ascii="Arial" w:hAnsi="Arial" w:cs="Arial"/>
        </w:rPr>
        <w:br/>
      </w:r>
      <w:r w:rsidRPr="008C2ACD">
        <w:rPr>
          <w:rFonts w:ascii="Segoe UI Symbol" w:hAnsi="Segoe UI Symbol" w:cs="Segoe UI Symbol"/>
        </w:rPr>
        <w:t>☐</w:t>
      </w:r>
      <w:r w:rsidRPr="008C2ACD">
        <w:rPr>
          <w:rFonts w:ascii="Arial" w:hAnsi="Arial" w:cs="Arial"/>
        </w:rPr>
        <w:t xml:space="preserve">  Partially fulfilled</w:t>
      </w:r>
      <w:r w:rsidRPr="008C2ACD">
        <w:rPr>
          <w:rFonts w:ascii="Arial" w:hAnsi="Arial" w:cs="Arial"/>
        </w:rPr>
        <w:br/>
      </w:r>
      <w:r w:rsidRPr="008C2ACD">
        <w:rPr>
          <w:rFonts w:ascii="Segoe UI Symbol" w:hAnsi="Segoe UI Symbol" w:cs="Segoe UI Symbol"/>
        </w:rPr>
        <w:t>☐</w:t>
      </w:r>
      <w:r w:rsidRPr="008C2ACD">
        <w:rPr>
          <w:rFonts w:ascii="Arial" w:hAnsi="Arial" w:cs="Arial"/>
        </w:rPr>
        <w:t xml:space="preserve">  Not fulfilled</w:t>
      </w:r>
      <w:r w:rsidRPr="008C2ACD">
        <w:rPr>
          <w:rFonts w:ascii="Arial" w:hAnsi="Arial" w:cs="Arial"/>
        </w:rPr>
        <w:br/>
      </w:r>
      <w:r w:rsidRPr="008C2ACD">
        <w:rPr>
          <w:rFonts w:ascii="Segoe UI Symbol" w:hAnsi="Segoe UI Symbol" w:cs="Segoe UI Symbol"/>
        </w:rPr>
        <w:t>☐</w:t>
      </w:r>
      <w:r w:rsidRPr="008C2ACD">
        <w:rPr>
          <w:rFonts w:ascii="Arial" w:hAnsi="Arial" w:cs="Arial"/>
        </w:rPr>
        <w:t xml:space="preserve">  Not determined</w:t>
      </w:r>
    </w:p>
    <w:p w14:paraId="7E5E714C" w14:textId="4CCC1D43" w:rsidR="008B5FCC" w:rsidRDefault="008B5FCC" w:rsidP="00C84325">
      <w:pPr>
        <w:spacing w:line="276" w:lineRule="auto"/>
        <w:jc w:val="both"/>
        <w:rPr>
          <w:rFonts w:ascii="Segoe UI Symbol" w:hAnsi="Segoe UI Symbol" w:cs="Segoe UI Symbol"/>
        </w:rPr>
      </w:pPr>
    </w:p>
    <w:p w14:paraId="4D8B7199" w14:textId="7991E7C0" w:rsidR="006312B1" w:rsidRDefault="006312B1" w:rsidP="00C84325">
      <w:pPr>
        <w:spacing w:line="276" w:lineRule="auto"/>
        <w:jc w:val="both"/>
        <w:rPr>
          <w:rFonts w:ascii="Segoe UI Symbol" w:hAnsi="Segoe UI Symbol" w:cs="Segoe UI Symbol"/>
        </w:rPr>
      </w:pPr>
    </w:p>
    <w:p w14:paraId="6D74A38A" w14:textId="2EB2C977" w:rsidR="006312B1" w:rsidRDefault="006312B1" w:rsidP="00C84325">
      <w:pPr>
        <w:spacing w:line="276" w:lineRule="auto"/>
        <w:jc w:val="both"/>
        <w:rPr>
          <w:rFonts w:ascii="Segoe UI Symbol" w:hAnsi="Segoe UI Symbol" w:cs="Segoe UI Symbol"/>
        </w:rPr>
      </w:pPr>
    </w:p>
    <w:p w14:paraId="1BE7961A" w14:textId="1E761BF2" w:rsidR="006312B1" w:rsidRDefault="006312B1" w:rsidP="00C84325">
      <w:pPr>
        <w:spacing w:line="276" w:lineRule="auto"/>
        <w:jc w:val="both"/>
        <w:rPr>
          <w:rFonts w:ascii="Segoe UI Symbol" w:hAnsi="Segoe UI Symbol" w:cs="Segoe UI Symbol"/>
        </w:rPr>
      </w:pPr>
    </w:p>
    <w:p w14:paraId="341AC4BE" w14:textId="01FA7ED9" w:rsidR="006312B1" w:rsidRDefault="006312B1" w:rsidP="00C84325">
      <w:pPr>
        <w:spacing w:line="276" w:lineRule="auto"/>
        <w:jc w:val="both"/>
        <w:rPr>
          <w:rFonts w:ascii="Segoe UI Symbol" w:hAnsi="Segoe UI Symbol" w:cs="Segoe UI Symbol"/>
        </w:rPr>
      </w:pPr>
    </w:p>
    <w:p w14:paraId="01E10BCD" w14:textId="318E5719" w:rsidR="006312B1" w:rsidRDefault="006312B1" w:rsidP="00C84325">
      <w:pPr>
        <w:spacing w:line="276" w:lineRule="auto"/>
        <w:jc w:val="both"/>
        <w:rPr>
          <w:rFonts w:ascii="Segoe UI Symbol" w:hAnsi="Segoe UI Symbol" w:cs="Segoe UI Symbol"/>
        </w:rPr>
      </w:pPr>
    </w:p>
    <w:p w14:paraId="3CB01738" w14:textId="4A7799EF" w:rsidR="006312B1" w:rsidRDefault="006312B1" w:rsidP="00C84325">
      <w:pPr>
        <w:spacing w:line="276" w:lineRule="auto"/>
        <w:jc w:val="both"/>
        <w:rPr>
          <w:rFonts w:ascii="Segoe UI Symbol" w:hAnsi="Segoe UI Symbol" w:cs="Segoe UI Symbol"/>
        </w:rPr>
      </w:pPr>
    </w:p>
    <w:p w14:paraId="69593073" w14:textId="1DA4A8AF" w:rsidR="006312B1" w:rsidRDefault="006312B1" w:rsidP="00C84325">
      <w:pPr>
        <w:spacing w:line="276" w:lineRule="auto"/>
        <w:jc w:val="both"/>
        <w:rPr>
          <w:rFonts w:ascii="Segoe UI Symbol" w:hAnsi="Segoe UI Symbol" w:cs="Segoe UI Symbol"/>
        </w:rPr>
      </w:pPr>
    </w:p>
    <w:p w14:paraId="50E8138C" w14:textId="7242B0C2" w:rsidR="006312B1" w:rsidRDefault="006312B1" w:rsidP="00C84325">
      <w:pPr>
        <w:spacing w:line="276" w:lineRule="auto"/>
        <w:jc w:val="both"/>
        <w:rPr>
          <w:rFonts w:ascii="Segoe UI Symbol" w:hAnsi="Segoe UI Symbol" w:cs="Segoe UI Symbol"/>
        </w:rPr>
      </w:pPr>
    </w:p>
    <w:p w14:paraId="0383E696" w14:textId="61668AA1" w:rsidR="006312B1" w:rsidRDefault="006312B1" w:rsidP="00C84325">
      <w:pPr>
        <w:spacing w:line="276" w:lineRule="auto"/>
        <w:jc w:val="both"/>
        <w:rPr>
          <w:rFonts w:ascii="Segoe UI Symbol" w:hAnsi="Segoe UI Symbol" w:cs="Segoe UI Symbol"/>
        </w:rPr>
      </w:pPr>
    </w:p>
    <w:p w14:paraId="35E11FB3" w14:textId="1889EE5F" w:rsidR="008C2ACD" w:rsidRDefault="008C2ACD" w:rsidP="00C84325">
      <w:pPr>
        <w:spacing w:line="276" w:lineRule="auto"/>
        <w:jc w:val="both"/>
        <w:rPr>
          <w:rFonts w:ascii="Segoe UI Symbol" w:hAnsi="Segoe UI Symbol" w:cs="Segoe UI Symbol"/>
        </w:rPr>
      </w:pPr>
    </w:p>
    <w:p w14:paraId="7E8A6BE7" w14:textId="1F5A825E" w:rsidR="008C2ACD" w:rsidRDefault="008C2ACD" w:rsidP="00C84325">
      <w:pPr>
        <w:spacing w:line="276" w:lineRule="auto"/>
        <w:jc w:val="both"/>
        <w:rPr>
          <w:rFonts w:ascii="Segoe UI Symbol" w:hAnsi="Segoe UI Symbol" w:cs="Segoe UI Symbol"/>
        </w:rPr>
      </w:pPr>
    </w:p>
    <w:p w14:paraId="6E4816F4" w14:textId="5EA5816E" w:rsidR="008C2ACD" w:rsidRDefault="008C2ACD" w:rsidP="00C84325">
      <w:pPr>
        <w:spacing w:line="276" w:lineRule="auto"/>
        <w:jc w:val="both"/>
        <w:rPr>
          <w:rFonts w:ascii="Segoe UI Symbol" w:hAnsi="Segoe UI Symbol" w:cs="Segoe UI Symbol"/>
        </w:rPr>
      </w:pPr>
    </w:p>
    <w:p w14:paraId="0E633D4B" w14:textId="1033220B" w:rsidR="008C2ACD" w:rsidRDefault="008C2ACD" w:rsidP="00C84325">
      <w:pPr>
        <w:spacing w:line="276" w:lineRule="auto"/>
        <w:jc w:val="both"/>
        <w:rPr>
          <w:rFonts w:ascii="Segoe UI Symbol" w:hAnsi="Segoe UI Symbol" w:cs="Segoe UI Symbol"/>
        </w:rPr>
      </w:pPr>
    </w:p>
    <w:p w14:paraId="14ADB187" w14:textId="66803DFD" w:rsidR="008C2ACD" w:rsidRDefault="008C2ACD" w:rsidP="00C84325">
      <w:pPr>
        <w:spacing w:line="276" w:lineRule="auto"/>
        <w:jc w:val="both"/>
        <w:rPr>
          <w:rFonts w:ascii="Segoe UI Symbol" w:hAnsi="Segoe UI Symbol" w:cs="Segoe UI Symbol"/>
        </w:rPr>
      </w:pPr>
    </w:p>
    <w:p w14:paraId="60D70AB8" w14:textId="34C31FB1" w:rsidR="008C2ACD" w:rsidRDefault="008C2ACD" w:rsidP="00C84325">
      <w:pPr>
        <w:spacing w:line="276" w:lineRule="auto"/>
        <w:jc w:val="both"/>
        <w:rPr>
          <w:rFonts w:ascii="Segoe UI Symbol" w:hAnsi="Segoe UI Symbol" w:cs="Segoe UI Symbol"/>
        </w:rPr>
      </w:pPr>
    </w:p>
    <w:p w14:paraId="6358C532" w14:textId="05FA03A8" w:rsidR="006312B1" w:rsidRDefault="006312B1" w:rsidP="00C84325">
      <w:pPr>
        <w:spacing w:line="276" w:lineRule="auto"/>
        <w:jc w:val="both"/>
        <w:rPr>
          <w:rFonts w:ascii="Segoe UI Symbol" w:hAnsi="Segoe UI Symbol" w:cs="Segoe UI Symbol"/>
        </w:rPr>
      </w:pPr>
    </w:p>
    <w:p w14:paraId="636B0943" w14:textId="120D8263" w:rsidR="00364AA0" w:rsidRDefault="00364AA0" w:rsidP="00C84325">
      <w:pPr>
        <w:spacing w:line="276" w:lineRule="auto"/>
        <w:jc w:val="both"/>
        <w:rPr>
          <w:rFonts w:ascii="Segoe UI Symbol" w:hAnsi="Segoe UI Symbol" w:cs="Segoe UI Symbol"/>
        </w:rPr>
      </w:pPr>
    </w:p>
    <w:p w14:paraId="2B4FBD39" w14:textId="2D1B0275" w:rsidR="006C5864" w:rsidRDefault="006C5864" w:rsidP="00C84325">
      <w:pPr>
        <w:spacing w:line="276" w:lineRule="auto"/>
        <w:jc w:val="both"/>
        <w:rPr>
          <w:rFonts w:ascii="Segoe UI Symbol" w:hAnsi="Segoe UI Symbol" w:cs="Segoe UI Symbol"/>
        </w:rPr>
      </w:pPr>
    </w:p>
    <w:p w14:paraId="003A18AD" w14:textId="4FD153FA" w:rsidR="006C5864" w:rsidRDefault="006C5864" w:rsidP="00C84325">
      <w:pPr>
        <w:spacing w:line="276" w:lineRule="auto"/>
        <w:jc w:val="both"/>
        <w:rPr>
          <w:rFonts w:ascii="Segoe UI Symbol" w:hAnsi="Segoe UI Symbol" w:cs="Segoe UI Symbol"/>
        </w:rPr>
      </w:pPr>
    </w:p>
    <w:p w14:paraId="2C8F8154" w14:textId="77777777" w:rsidR="006C5864" w:rsidRDefault="006C5864" w:rsidP="00C84325">
      <w:pPr>
        <w:spacing w:line="276" w:lineRule="auto"/>
        <w:jc w:val="both"/>
        <w:rPr>
          <w:rFonts w:ascii="Segoe UI Symbol" w:hAnsi="Segoe UI Symbol" w:cs="Segoe UI Symbol"/>
        </w:rPr>
      </w:pPr>
    </w:p>
    <w:p w14:paraId="7BC43B9C" w14:textId="77777777" w:rsidR="006312B1" w:rsidRDefault="006312B1" w:rsidP="00C84325">
      <w:pPr>
        <w:spacing w:line="276" w:lineRule="auto"/>
        <w:jc w:val="both"/>
        <w:rPr>
          <w:rFonts w:ascii="Segoe UI Symbol" w:hAnsi="Segoe UI Symbol" w:cs="Segoe UI Symbol"/>
        </w:rPr>
      </w:pPr>
    </w:p>
    <w:p w14:paraId="3359E750" w14:textId="44E8DDB1" w:rsidR="00AF56DD" w:rsidRPr="00723AD5" w:rsidRDefault="00AF56DD" w:rsidP="008C2ACD">
      <w:pPr>
        <w:spacing w:line="276" w:lineRule="auto"/>
        <w:jc w:val="both"/>
        <w:rPr>
          <w:rFonts w:ascii="Arial" w:hAnsi="Arial" w:cs="Arial"/>
          <w:b/>
          <w:bCs/>
          <w:sz w:val="24"/>
          <w:szCs w:val="24"/>
        </w:rPr>
      </w:pPr>
      <w:r w:rsidRPr="00723AD5">
        <w:rPr>
          <w:rFonts w:ascii="Arial" w:hAnsi="Arial" w:cs="Arial"/>
          <w:b/>
          <w:bCs/>
          <w:sz w:val="24"/>
          <w:szCs w:val="24"/>
        </w:rPr>
        <w:lastRenderedPageBreak/>
        <w:t>References:</w:t>
      </w:r>
    </w:p>
    <w:p w14:paraId="5FB6BFC6" w14:textId="3F278C7C" w:rsidR="00723AD5" w:rsidRPr="00723AD5" w:rsidRDefault="00AF56DD" w:rsidP="008C2ACD">
      <w:pPr>
        <w:widowControl w:val="0"/>
        <w:autoSpaceDE w:val="0"/>
        <w:autoSpaceDN w:val="0"/>
        <w:adjustRightInd w:val="0"/>
        <w:spacing w:line="276" w:lineRule="auto"/>
        <w:ind w:left="480" w:hanging="480"/>
        <w:rPr>
          <w:rFonts w:ascii="Arial" w:hAnsi="Arial" w:cs="Arial"/>
          <w:noProof/>
          <w:szCs w:val="24"/>
        </w:rPr>
      </w:pPr>
      <w:r>
        <w:rPr>
          <w:rFonts w:ascii="Arial" w:hAnsi="Arial" w:cs="Arial"/>
        </w:rPr>
        <w:fldChar w:fldCharType="begin" w:fldLock="1"/>
      </w:r>
      <w:r>
        <w:rPr>
          <w:rFonts w:ascii="Arial" w:hAnsi="Arial" w:cs="Arial"/>
        </w:rPr>
        <w:instrText xml:space="preserve">ADDIN Mendeley Bibliography CSL_BIBLIOGRAPHY </w:instrText>
      </w:r>
      <w:r>
        <w:rPr>
          <w:rFonts w:ascii="Arial" w:hAnsi="Arial" w:cs="Arial"/>
        </w:rPr>
        <w:fldChar w:fldCharType="separate"/>
      </w:r>
      <w:r w:rsidR="00723AD5" w:rsidRPr="00723AD5">
        <w:rPr>
          <w:rFonts w:ascii="Arial" w:hAnsi="Arial" w:cs="Arial"/>
          <w:noProof/>
          <w:szCs w:val="24"/>
        </w:rPr>
        <w:t xml:space="preserve">Beato, M., &amp; Klug, J. (2000). Steroid hormone receptors: An update. </w:t>
      </w:r>
      <w:r w:rsidR="00723AD5" w:rsidRPr="00723AD5">
        <w:rPr>
          <w:rFonts w:ascii="Arial" w:hAnsi="Arial" w:cs="Arial"/>
          <w:i/>
          <w:iCs/>
          <w:noProof/>
          <w:szCs w:val="24"/>
        </w:rPr>
        <w:t>Human Reproduction Update</w:t>
      </w:r>
      <w:r w:rsidR="00723AD5" w:rsidRPr="00723AD5">
        <w:rPr>
          <w:rFonts w:ascii="Arial" w:hAnsi="Arial" w:cs="Arial"/>
          <w:noProof/>
          <w:szCs w:val="24"/>
        </w:rPr>
        <w:t xml:space="preserve">, </w:t>
      </w:r>
      <w:r w:rsidR="00723AD5" w:rsidRPr="00723AD5">
        <w:rPr>
          <w:rFonts w:ascii="Arial" w:hAnsi="Arial" w:cs="Arial"/>
          <w:i/>
          <w:iCs/>
          <w:noProof/>
          <w:szCs w:val="24"/>
        </w:rPr>
        <w:t>6</w:t>
      </w:r>
      <w:r w:rsidR="00723AD5" w:rsidRPr="00723AD5">
        <w:rPr>
          <w:rFonts w:ascii="Arial" w:hAnsi="Arial" w:cs="Arial"/>
          <w:noProof/>
          <w:szCs w:val="24"/>
        </w:rPr>
        <w:t>(3), 225–236. https://doi.org/10.1093/humupd/6.3.225</w:t>
      </w:r>
    </w:p>
    <w:p w14:paraId="00E7E554" w14:textId="77777777" w:rsidR="00723AD5" w:rsidRPr="00723AD5" w:rsidRDefault="00723AD5" w:rsidP="008C2ACD">
      <w:pPr>
        <w:widowControl w:val="0"/>
        <w:autoSpaceDE w:val="0"/>
        <w:autoSpaceDN w:val="0"/>
        <w:adjustRightInd w:val="0"/>
        <w:spacing w:line="276" w:lineRule="auto"/>
        <w:ind w:left="480" w:hanging="480"/>
        <w:rPr>
          <w:rFonts w:ascii="Arial" w:hAnsi="Arial" w:cs="Arial"/>
          <w:noProof/>
          <w:szCs w:val="24"/>
        </w:rPr>
      </w:pPr>
      <w:r w:rsidRPr="00723AD5">
        <w:rPr>
          <w:rFonts w:ascii="Arial" w:hAnsi="Arial" w:cs="Arial"/>
          <w:noProof/>
          <w:szCs w:val="24"/>
        </w:rPr>
        <w:t xml:space="preserve">Gust, M., Vulliet, E., Giroud, B., Garnier, F., Couturier, S., Garric, J., &amp; Buronfosse, T. (2010). Development, validation and comparison of LC-MS/MS and RIA methods for quantification of vertebrates-like sex-steroids in prosobranch molluscs. </w:t>
      </w:r>
      <w:r w:rsidRPr="00723AD5">
        <w:rPr>
          <w:rFonts w:ascii="Arial" w:hAnsi="Arial" w:cs="Arial"/>
          <w:i/>
          <w:iCs/>
          <w:noProof/>
          <w:szCs w:val="24"/>
        </w:rPr>
        <w:t>Journal of Chromatography B: Analytical Technologies in the Biomedical and Life Sciences</w:t>
      </w:r>
      <w:r w:rsidRPr="00723AD5">
        <w:rPr>
          <w:rFonts w:ascii="Arial" w:hAnsi="Arial" w:cs="Arial"/>
          <w:noProof/>
          <w:szCs w:val="24"/>
        </w:rPr>
        <w:t xml:space="preserve">, </w:t>
      </w:r>
      <w:r w:rsidRPr="00723AD5">
        <w:rPr>
          <w:rFonts w:ascii="Arial" w:hAnsi="Arial" w:cs="Arial"/>
          <w:i/>
          <w:iCs/>
          <w:noProof/>
          <w:szCs w:val="24"/>
        </w:rPr>
        <w:t>878</w:t>
      </w:r>
      <w:r w:rsidRPr="00723AD5">
        <w:rPr>
          <w:rFonts w:ascii="Arial" w:hAnsi="Arial" w:cs="Arial"/>
          <w:noProof/>
          <w:szCs w:val="24"/>
        </w:rPr>
        <w:t>(19), 1487–1492. https://doi.org/10.1016/j.jchromb.2010.03.046</w:t>
      </w:r>
    </w:p>
    <w:p w14:paraId="5B556530" w14:textId="77777777" w:rsidR="00723AD5" w:rsidRPr="00723AD5" w:rsidRDefault="00723AD5" w:rsidP="008C2ACD">
      <w:pPr>
        <w:widowControl w:val="0"/>
        <w:autoSpaceDE w:val="0"/>
        <w:autoSpaceDN w:val="0"/>
        <w:adjustRightInd w:val="0"/>
        <w:spacing w:line="276" w:lineRule="auto"/>
        <w:ind w:left="480" w:hanging="480"/>
        <w:rPr>
          <w:rFonts w:ascii="Arial" w:hAnsi="Arial" w:cs="Arial"/>
          <w:noProof/>
          <w:szCs w:val="24"/>
        </w:rPr>
      </w:pPr>
      <w:r w:rsidRPr="00723AD5">
        <w:rPr>
          <w:rFonts w:ascii="Arial" w:hAnsi="Arial" w:cs="Arial"/>
          <w:noProof/>
          <w:szCs w:val="24"/>
        </w:rPr>
        <w:t xml:space="preserve">Jadad, A. R., Moore, R. A., Carroll, D., Jenkinson, C., Reynolds, D. J. M., Gavaghan, D. J., &amp; McQuay, H. J. (1996). Assessing the quality of reports of randomized clinical trials: Is blinding necessary? </w:t>
      </w:r>
      <w:r w:rsidRPr="00723AD5">
        <w:rPr>
          <w:rFonts w:ascii="Arial" w:hAnsi="Arial" w:cs="Arial"/>
          <w:i/>
          <w:iCs/>
          <w:noProof/>
          <w:szCs w:val="24"/>
        </w:rPr>
        <w:t>Controlled Clinical Trials</w:t>
      </w:r>
      <w:r w:rsidRPr="00723AD5">
        <w:rPr>
          <w:rFonts w:ascii="Arial" w:hAnsi="Arial" w:cs="Arial"/>
          <w:noProof/>
          <w:szCs w:val="24"/>
        </w:rPr>
        <w:t xml:space="preserve">, </w:t>
      </w:r>
      <w:r w:rsidRPr="00723AD5">
        <w:rPr>
          <w:rFonts w:ascii="Arial" w:hAnsi="Arial" w:cs="Arial"/>
          <w:i/>
          <w:iCs/>
          <w:noProof/>
          <w:szCs w:val="24"/>
        </w:rPr>
        <w:t>17</w:t>
      </w:r>
      <w:r w:rsidRPr="00723AD5">
        <w:rPr>
          <w:rFonts w:ascii="Arial" w:hAnsi="Arial" w:cs="Arial"/>
          <w:noProof/>
          <w:szCs w:val="24"/>
        </w:rPr>
        <w:t>(1), 1–12. https://doi.org/10.1016/0197-2456(95)00134-4</w:t>
      </w:r>
    </w:p>
    <w:p w14:paraId="7617B994" w14:textId="77777777" w:rsidR="00723AD5" w:rsidRPr="00723AD5" w:rsidRDefault="00723AD5" w:rsidP="008C2ACD">
      <w:pPr>
        <w:widowControl w:val="0"/>
        <w:autoSpaceDE w:val="0"/>
        <w:autoSpaceDN w:val="0"/>
        <w:adjustRightInd w:val="0"/>
        <w:spacing w:line="276" w:lineRule="auto"/>
        <w:ind w:left="480" w:hanging="480"/>
        <w:rPr>
          <w:rFonts w:ascii="Arial" w:hAnsi="Arial" w:cs="Arial"/>
          <w:noProof/>
          <w:szCs w:val="24"/>
        </w:rPr>
      </w:pPr>
      <w:r w:rsidRPr="00723AD5">
        <w:rPr>
          <w:rFonts w:ascii="Arial" w:hAnsi="Arial" w:cs="Arial"/>
          <w:noProof/>
          <w:szCs w:val="24"/>
        </w:rPr>
        <w:t xml:space="preserve">Percie Du Sertid, N., Ahluwaliaid, A., Alamid, S., Aveyid, M. T., Baker, M., Browneid, W. J., Clarkid, A., Cuthillid, I. C., Dirnaglid, U., Emerson, M., Garnerid, P., Holgate, S. T., Howellsid, D. W., Hurst, V., Karpid, N. A., Lazic, S. E., Lidster, K., Maccallumid, C. J., Macleodid, M., … Wü Rbelid, H. (2020). </w:t>
      </w:r>
      <w:r w:rsidRPr="00723AD5">
        <w:rPr>
          <w:rFonts w:ascii="Arial" w:hAnsi="Arial" w:cs="Arial"/>
          <w:i/>
          <w:iCs/>
          <w:noProof/>
          <w:szCs w:val="24"/>
        </w:rPr>
        <w:t>Reporting animal research: Explanation and elaboration for the ARRIVE guidelines 2.0</w:t>
      </w:r>
      <w:r w:rsidRPr="00723AD5">
        <w:rPr>
          <w:rFonts w:ascii="Arial" w:hAnsi="Arial" w:cs="Arial"/>
          <w:noProof/>
          <w:szCs w:val="24"/>
        </w:rPr>
        <w:t>. https://doi.org/10.1371/journal.pbio.3000411</w:t>
      </w:r>
    </w:p>
    <w:p w14:paraId="07375197" w14:textId="77777777" w:rsidR="00723AD5" w:rsidRPr="00723AD5" w:rsidRDefault="00723AD5" w:rsidP="008C2ACD">
      <w:pPr>
        <w:widowControl w:val="0"/>
        <w:autoSpaceDE w:val="0"/>
        <w:autoSpaceDN w:val="0"/>
        <w:adjustRightInd w:val="0"/>
        <w:spacing w:line="276" w:lineRule="auto"/>
        <w:ind w:left="480" w:hanging="480"/>
        <w:rPr>
          <w:rFonts w:ascii="Arial" w:hAnsi="Arial" w:cs="Arial"/>
          <w:noProof/>
          <w:szCs w:val="24"/>
        </w:rPr>
      </w:pPr>
      <w:r w:rsidRPr="00723AD5">
        <w:rPr>
          <w:rFonts w:ascii="Arial" w:hAnsi="Arial" w:cs="Arial"/>
          <w:noProof/>
          <w:szCs w:val="24"/>
        </w:rPr>
        <w:t xml:space="preserve">Vogeler, S., Galloway, T. S., Lyons, B. P., &amp; Bean, T. P. (2014). </w:t>
      </w:r>
      <w:r w:rsidRPr="00723AD5">
        <w:rPr>
          <w:rFonts w:ascii="Arial" w:hAnsi="Arial" w:cs="Arial"/>
          <w:i/>
          <w:iCs/>
          <w:noProof/>
          <w:szCs w:val="24"/>
        </w:rPr>
        <w:t>The nuclear receptor gene family in the Pacific oyster, Crassostrea gigas, contains a novel subfamily group</w:t>
      </w:r>
      <w:r w:rsidRPr="00723AD5">
        <w:rPr>
          <w:rFonts w:ascii="Arial" w:hAnsi="Arial" w:cs="Arial"/>
          <w:noProof/>
          <w:szCs w:val="24"/>
        </w:rPr>
        <w:t>. https://doi.org/10.1186/1471-2164-15-369</w:t>
      </w:r>
    </w:p>
    <w:p w14:paraId="7041B3D7" w14:textId="77777777" w:rsidR="00723AD5" w:rsidRPr="00723AD5" w:rsidRDefault="00723AD5" w:rsidP="008C2ACD">
      <w:pPr>
        <w:widowControl w:val="0"/>
        <w:autoSpaceDE w:val="0"/>
        <w:autoSpaceDN w:val="0"/>
        <w:adjustRightInd w:val="0"/>
        <w:spacing w:line="276" w:lineRule="auto"/>
        <w:ind w:left="480" w:hanging="480"/>
        <w:rPr>
          <w:rFonts w:ascii="Arial" w:hAnsi="Arial" w:cs="Arial"/>
          <w:noProof/>
        </w:rPr>
      </w:pPr>
      <w:r w:rsidRPr="00723AD5">
        <w:rPr>
          <w:rFonts w:ascii="Arial" w:hAnsi="Arial" w:cs="Arial"/>
          <w:noProof/>
          <w:szCs w:val="24"/>
        </w:rPr>
        <w:t xml:space="preserve">Xu, X., Keefer, L. K., Ziegler, R. G., &amp; Veenstra, T. D. (2007). A liquid chromatography - Mass spectrometry method for the quantitative analysis of urinary endogenous estrogen metabolites. </w:t>
      </w:r>
      <w:r w:rsidRPr="00723AD5">
        <w:rPr>
          <w:rFonts w:ascii="Arial" w:hAnsi="Arial" w:cs="Arial"/>
          <w:i/>
          <w:iCs/>
          <w:noProof/>
          <w:szCs w:val="24"/>
        </w:rPr>
        <w:t>Nature Protocols</w:t>
      </w:r>
      <w:r w:rsidRPr="00723AD5">
        <w:rPr>
          <w:rFonts w:ascii="Arial" w:hAnsi="Arial" w:cs="Arial"/>
          <w:noProof/>
          <w:szCs w:val="24"/>
        </w:rPr>
        <w:t xml:space="preserve">, </w:t>
      </w:r>
      <w:r w:rsidRPr="00723AD5">
        <w:rPr>
          <w:rFonts w:ascii="Arial" w:hAnsi="Arial" w:cs="Arial"/>
          <w:i/>
          <w:iCs/>
          <w:noProof/>
          <w:szCs w:val="24"/>
        </w:rPr>
        <w:t>2</w:t>
      </w:r>
      <w:r w:rsidRPr="00723AD5">
        <w:rPr>
          <w:rFonts w:ascii="Arial" w:hAnsi="Arial" w:cs="Arial"/>
          <w:noProof/>
          <w:szCs w:val="24"/>
        </w:rPr>
        <w:t>(6), 1350–1355. https://doi.org/10.1038/nprot.2007.176</w:t>
      </w:r>
    </w:p>
    <w:p w14:paraId="2BFB1986" w14:textId="1EAA2061" w:rsidR="00AF56DD" w:rsidRPr="00C84325" w:rsidRDefault="00AF56DD" w:rsidP="008C2ACD">
      <w:pPr>
        <w:spacing w:line="276" w:lineRule="auto"/>
        <w:jc w:val="both"/>
        <w:rPr>
          <w:rFonts w:ascii="Arial" w:hAnsi="Arial" w:cs="Arial"/>
        </w:rPr>
      </w:pPr>
      <w:r>
        <w:rPr>
          <w:rFonts w:ascii="Arial" w:hAnsi="Arial" w:cs="Arial"/>
        </w:rPr>
        <w:fldChar w:fldCharType="end"/>
      </w:r>
    </w:p>
    <w:sectPr w:rsidR="00AF56DD" w:rsidRPr="00C843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75F2B"/>
    <w:multiLevelType w:val="hybridMultilevel"/>
    <w:tmpl w:val="6722089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7B4904"/>
    <w:multiLevelType w:val="hybridMultilevel"/>
    <w:tmpl w:val="629088FC"/>
    <w:lvl w:ilvl="0" w:tplc="8BB409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7961080"/>
    <w:multiLevelType w:val="hybridMultilevel"/>
    <w:tmpl w:val="06484EA4"/>
    <w:lvl w:ilvl="0" w:tplc="22FEEE1C">
      <w:numFmt w:val="bullet"/>
      <w:lvlText w:val="-"/>
      <w:lvlJc w:val="left"/>
      <w:pPr>
        <w:ind w:left="644"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CA61F8"/>
    <w:multiLevelType w:val="hybridMultilevel"/>
    <w:tmpl w:val="495472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3442F1"/>
    <w:multiLevelType w:val="hybridMultilevel"/>
    <w:tmpl w:val="961E68E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59675F"/>
    <w:multiLevelType w:val="hybridMultilevel"/>
    <w:tmpl w:val="FC38A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A30D2F"/>
    <w:multiLevelType w:val="hybridMultilevel"/>
    <w:tmpl w:val="D610C424"/>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43ED1AD3"/>
    <w:multiLevelType w:val="hybridMultilevel"/>
    <w:tmpl w:val="7A62A76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2C07DF"/>
    <w:multiLevelType w:val="hybridMultilevel"/>
    <w:tmpl w:val="57467A1A"/>
    <w:lvl w:ilvl="0" w:tplc="22FEEE1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101FAC"/>
    <w:multiLevelType w:val="hybridMultilevel"/>
    <w:tmpl w:val="2A323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A04659"/>
    <w:multiLevelType w:val="hybridMultilevel"/>
    <w:tmpl w:val="8AEE69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167801"/>
    <w:multiLevelType w:val="hybridMultilevel"/>
    <w:tmpl w:val="099AB8B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FD050C"/>
    <w:multiLevelType w:val="hybridMultilevel"/>
    <w:tmpl w:val="BCEE8F8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AF0685"/>
    <w:multiLevelType w:val="hybridMultilevel"/>
    <w:tmpl w:val="4F749AE6"/>
    <w:lvl w:ilvl="0" w:tplc="22FEEE1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4F14DB"/>
    <w:multiLevelType w:val="hybridMultilevel"/>
    <w:tmpl w:val="84EE31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6147A"/>
    <w:multiLevelType w:val="hybridMultilevel"/>
    <w:tmpl w:val="786A178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77ABA"/>
    <w:multiLevelType w:val="hybridMultilevel"/>
    <w:tmpl w:val="131A11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41365F"/>
    <w:multiLevelType w:val="hybridMultilevel"/>
    <w:tmpl w:val="D55486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8D0EA6"/>
    <w:multiLevelType w:val="hybridMultilevel"/>
    <w:tmpl w:val="5FDE47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204510"/>
    <w:multiLevelType w:val="hybridMultilevel"/>
    <w:tmpl w:val="2AB84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AA6CEB"/>
    <w:multiLevelType w:val="hybridMultilevel"/>
    <w:tmpl w:val="831C6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7"/>
  </w:num>
  <w:num w:numId="4">
    <w:abstractNumId w:val="9"/>
  </w:num>
  <w:num w:numId="5">
    <w:abstractNumId w:val="20"/>
  </w:num>
  <w:num w:numId="6">
    <w:abstractNumId w:val="13"/>
  </w:num>
  <w:num w:numId="7">
    <w:abstractNumId w:val="19"/>
  </w:num>
  <w:num w:numId="8">
    <w:abstractNumId w:val="8"/>
  </w:num>
  <w:num w:numId="9">
    <w:abstractNumId w:val="2"/>
  </w:num>
  <w:num w:numId="10">
    <w:abstractNumId w:val="18"/>
  </w:num>
  <w:num w:numId="11">
    <w:abstractNumId w:val="11"/>
  </w:num>
  <w:num w:numId="12">
    <w:abstractNumId w:val="7"/>
  </w:num>
  <w:num w:numId="13">
    <w:abstractNumId w:val="15"/>
  </w:num>
  <w:num w:numId="14">
    <w:abstractNumId w:val="16"/>
  </w:num>
  <w:num w:numId="15">
    <w:abstractNumId w:val="3"/>
  </w:num>
  <w:num w:numId="16">
    <w:abstractNumId w:val="14"/>
  </w:num>
  <w:num w:numId="17">
    <w:abstractNumId w:val="0"/>
  </w:num>
  <w:num w:numId="18">
    <w:abstractNumId w:val="12"/>
  </w:num>
  <w:num w:numId="19">
    <w:abstractNumId w:val="4"/>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E1"/>
    <w:rsid w:val="00010B03"/>
    <w:rsid w:val="00012154"/>
    <w:rsid w:val="000163D5"/>
    <w:rsid w:val="00022827"/>
    <w:rsid w:val="000275C4"/>
    <w:rsid w:val="00031D09"/>
    <w:rsid w:val="000331FF"/>
    <w:rsid w:val="000443DD"/>
    <w:rsid w:val="000456B9"/>
    <w:rsid w:val="00057799"/>
    <w:rsid w:val="000646E1"/>
    <w:rsid w:val="000653F5"/>
    <w:rsid w:val="0008198E"/>
    <w:rsid w:val="0008629D"/>
    <w:rsid w:val="00087898"/>
    <w:rsid w:val="0009031A"/>
    <w:rsid w:val="00091CA3"/>
    <w:rsid w:val="000A26AB"/>
    <w:rsid w:val="000B717E"/>
    <w:rsid w:val="000D153E"/>
    <w:rsid w:val="000D3F9E"/>
    <w:rsid w:val="000D5054"/>
    <w:rsid w:val="000D5D84"/>
    <w:rsid w:val="000D7270"/>
    <w:rsid w:val="000E4896"/>
    <w:rsid w:val="000F1AE0"/>
    <w:rsid w:val="000F4093"/>
    <w:rsid w:val="000F51D1"/>
    <w:rsid w:val="001012FD"/>
    <w:rsid w:val="00102094"/>
    <w:rsid w:val="0010488E"/>
    <w:rsid w:val="00113484"/>
    <w:rsid w:val="00115BD2"/>
    <w:rsid w:val="001301E0"/>
    <w:rsid w:val="00142AAD"/>
    <w:rsid w:val="00142C61"/>
    <w:rsid w:val="00143333"/>
    <w:rsid w:val="00146048"/>
    <w:rsid w:val="00154F8B"/>
    <w:rsid w:val="001554CF"/>
    <w:rsid w:val="00173E65"/>
    <w:rsid w:val="00186B34"/>
    <w:rsid w:val="00191041"/>
    <w:rsid w:val="001D0284"/>
    <w:rsid w:val="001E2707"/>
    <w:rsid w:val="001E5080"/>
    <w:rsid w:val="001F22F9"/>
    <w:rsid w:val="001F286A"/>
    <w:rsid w:val="00201811"/>
    <w:rsid w:val="0020652C"/>
    <w:rsid w:val="002072C5"/>
    <w:rsid w:val="00210FAD"/>
    <w:rsid w:val="00212937"/>
    <w:rsid w:val="002131AA"/>
    <w:rsid w:val="00217801"/>
    <w:rsid w:val="00227041"/>
    <w:rsid w:val="0023133F"/>
    <w:rsid w:val="00235D9D"/>
    <w:rsid w:val="00242EAF"/>
    <w:rsid w:val="00254B4F"/>
    <w:rsid w:val="00260FE8"/>
    <w:rsid w:val="002667D8"/>
    <w:rsid w:val="00272027"/>
    <w:rsid w:val="00272D97"/>
    <w:rsid w:val="00272F51"/>
    <w:rsid w:val="00273D20"/>
    <w:rsid w:val="00276E2E"/>
    <w:rsid w:val="00286B89"/>
    <w:rsid w:val="00290E41"/>
    <w:rsid w:val="0029222D"/>
    <w:rsid w:val="0029639C"/>
    <w:rsid w:val="00297322"/>
    <w:rsid w:val="002A2DFA"/>
    <w:rsid w:val="002B0DE2"/>
    <w:rsid w:val="002B5728"/>
    <w:rsid w:val="002C6ADF"/>
    <w:rsid w:val="002D7905"/>
    <w:rsid w:val="002F39E9"/>
    <w:rsid w:val="002F4B99"/>
    <w:rsid w:val="00302F8C"/>
    <w:rsid w:val="00310D5D"/>
    <w:rsid w:val="00313659"/>
    <w:rsid w:val="00326363"/>
    <w:rsid w:val="00336FBF"/>
    <w:rsid w:val="00344282"/>
    <w:rsid w:val="00344872"/>
    <w:rsid w:val="00351A1E"/>
    <w:rsid w:val="00353F38"/>
    <w:rsid w:val="003565D1"/>
    <w:rsid w:val="003578F3"/>
    <w:rsid w:val="00364AA0"/>
    <w:rsid w:val="0038024D"/>
    <w:rsid w:val="003956D5"/>
    <w:rsid w:val="003A683F"/>
    <w:rsid w:val="003B07BD"/>
    <w:rsid w:val="003B71A7"/>
    <w:rsid w:val="003C2CF5"/>
    <w:rsid w:val="003E5703"/>
    <w:rsid w:val="003F6B45"/>
    <w:rsid w:val="003F7467"/>
    <w:rsid w:val="003F760A"/>
    <w:rsid w:val="00403879"/>
    <w:rsid w:val="004052C2"/>
    <w:rsid w:val="004203A8"/>
    <w:rsid w:val="00437681"/>
    <w:rsid w:val="00442E59"/>
    <w:rsid w:val="00455F79"/>
    <w:rsid w:val="00461375"/>
    <w:rsid w:val="00462781"/>
    <w:rsid w:val="00464841"/>
    <w:rsid w:val="00464AAF"/>
    <w:rsid w:val="004A15DC"/>
    <w:rsid w:val="004A6F71"/>
    <w:rsid w:val="004C0551"/>
    <w:rsid w:val="004C092D"/>
    <w:rsid w:val="004D6B1E"/>
    <w:rsid w:val="004E0B35"/>
    <w:rsid w:val="004E4A25"/>
    <w:rsid w:val="004F2AF5"/>
    <w:rsid w:val="004F2FFA"/>
    <w:rsid w:val="004F7DFE"/>
    <w:rsid w:val="00512954"/>
    <w:rsid w:val="005145C5"/>
    <w:rsid w:val="00514DBF"/>
    <w:rsid w:val="00522B7B"/>
    <w:rsid w:val="005279EF"/>
    <w:rsid w:val="005305F9"/>
    <w:rsid w:val="00530999"/>
    <w:rsid w:val="00537386"/>
    <w:rsid w:val="00566151"/>
    <w:rsid w:val="005714AB"/>
    <w:rsid w:val="005739E8"/>
    <w:rsid w:val="00574771"/>
    <w:rsid w:val="00577B79"/>
    <w:rsid w:val="005806ED"/>
    <w:rsid w:val="00580883"/>
    <w:rsid w:val="0058420E"/>
    <w:rsid w:val="00591E9F"/>
    <w:rsid w:val="005A1E2F"/>
    <w:rsid w:val="005B0BB0"/>
    <w:rsid w:val="005B6324"/>
    <w:rsid w:val="005C21F9"/>
    <w:rsid w:val="006024D7"/>
    <w:rsid w:val="00603154"/>
    <w:rsid w:val="00604B55"/>
    <w:rsid w:val="00604BA0"/>
    <w:rsid w:val="006056DD"/>
    <w:rsid w:val="00616BD4"/>
    <w:rsid w:val="00622D62"/>
    <w:rsid w:val="006259CC"/>
    <w:rsid w:val="00625EEF"/>
    <w:rsid w:val="006312B1"/>
    <w:rsid w:val="00633765"/>
    <w:rsid w:val="00636A8C"/>
    <w:rsid w:val="00651851"/>
    <w:rsid w:val="00652C7F"/>
    <w:rsid w:val="00686B7E"/>
    <w:rsid w:val="00687588"/>
    <w:rsid w:val="006935E1"/>
    <w:rsid w:val="006B7FBB"/>
    <w:rsid w:val="006C1FF5"/>
    <w:rsid w:val="006C5864"/>
    <w:rsid w:val="006C6FA2"/>
    <w:rsid w:val="006C7BCA"/>
    <w:rsid w:val="006D07C7"/>
    <w:rsid w:val="006D0BF4"/>
    <w:rsid w:val="006D1979"/>
    <w:rsid w:val="006F55F4"/>
    <w:rsid w:val="006F72BB"/>
    <w:rsid w:val="00703A07"/>
    <w:rsid w:val="00704B2D"/>
    <w:rsid w:val="00710C11"/>
    <w:rsid w:val="00713553"/>
    <w:rsid w:val="007167B2"/>
    <w:rsid w:val="00723AD5"/>
    <w:rsid w:val="00726C26"/>
    <w:rsid w:val="00736190"/>
    <w:rsid w:val="007377C8"/>
    <w:rsid w:val="00737F7A"/>
    <w:rsid w:val="00746427"/>
    <w:rsid w:val="00750E80"/>
    <w:rsid w:val="00767C38"/>
    <w:rsid w:val="00775A59"/>
    <w:rsid w:val="00775EAC"/>
    <w:rsid w:val="0078667D"/>
    <w:rsid w:val="0078785A"/>
    <w:rsid w:val="00791D51"/>
    <w:rsid w:val="00793A0A"/>
    <w:rsid w:val="00795630"/>
    <w:rsid w:val="00796E43"/>
    <w:rsid w:val="00797764"/>
    <w:rsid w:val="00797D21"/>
    <w:rsid w:val="007A0618"/>
    <w:rsid w:val="007A5349"/>
    <w:rsid w:val="007B0392"/>
    <w:rsid w:val="007B295C"/>
    <w:rsid w:val="007D3311"/>
    <w:rsid w:val="007D794A"/>
    <w:rsid w:val="007E47F6"/>
    <w:rsid w:val="007F1569"/>
    <w:rsid w:val="007F56D4"/>
    <w:rsid w:val="007F71F6"/>
    <w:rsid w:val="00802E6B"/>
    <w:rsid w:val="00802FA6"/>
    <w:rsid w:val="0081010D"/>
    <w:rsid w:val="00821E56"/>
    <w:rsid w:val="008225F8"/>
    <w:rsid w:val="00824408"/>
    <w:rsid w:val="00825723"/>
    <w:rsid w:val="008304A0"/>
    <w:rsid w:val="00834D32"/>
    <w:rsid w:val="00836C3C"/>
    <w:rsid w:val="00837419"/>
    <w:rsid w:val="00840FAC"/>
    <w:rsid w:val="00845480"/>
    <w:rsid w:val="0084636D"/>
    <w:rsid w:val="008544D7"/>
    <w:rsid w:val="008612CA"/>
    <w:rsid w:val="008623D3"/>
    <w:rsid w:val="008647D2"/>
    <w:rsid w:val="008674AA"/>
    <w:rsid w:val="00893D0A"/>
    <w:rsid w:val="008B3F14"/>
    <w:rsid w:val="008B5FCC"/>
    <w:rsid w:val="008C0817"/>
    <w:rsid w:val="008C2ACD"/>
    <w:rsid w:val="008C6907"/>
    <w:rsid w:val="008C6B4E"/>
    <w:rsid w:val="008C7AE5"/>
    <w:rsid w:val="008E5D53"/>
    <w:rsid w:val="008E5DF0"/>
    <w:rsid w:val="008F0DD3"/>
    <w:rsid w:val="008F3F5F"/>
    <w:rsid w:val="008F682C"/>
    <w:rsid w:val="008F70F1"/>
    <w:rsid w:val="00903295"/>
    <w:rsid w:val="00905461"/>
    <w:rsid w:val="00907F40"/>
    <w:rsid w:val="009137FC"/>
    <w:rsid w:val="00943DC9"/>
    <w:rsid w:val="00944075"/>
    <w:rsid w:val="009571D4"/>
    <w:rsid w:val="00965D6A"/>
    <w:rsid w:val="00966657"/>
    <w:rsid w:val="00966ECD"/>
    <w:rsid w:val="0097234D"/>
    <w:rsid w:val="0097708B"/>
    <w:rsid w:val="00980167"/>
    <w:rsid w:val="009847C2"/>
    <w:rsid w:val="00991FB6"/>
    <w:rsid w:val="009A7C51"/>
    <w:rsid w:val="009A7CF5"/>
    <w:rsid w:val="009C2076"/>
    <w:rsid w:val="009C496B"/>
    <w:rsid w:val="009D0728"/>
    <w:rsid w:val="009D5F29"/>
    <w:rsid w:val="009E6332"/>
    <w:rsid w:val="009F05DC"/>
    <w:rsid w:val="009F3632"/>
    <w:rsid w:val="00A0640F"/>
    <w:rsid w:val="00A07429"/>
    <w:rsid w:val="00A17E9F"/>
    <w:rsid w:val="00A321E9"/>
    <w:rsid w:val="00A350AF"/>
    <w:rsid w:val="00A3624D"/>
    <w:rsid w:val="00A36CA4"/>
    <w:rsid w:val="00A42AA3"/>
    <w:rsid w:val="00A46B61"/>
    <w:rsid w:val="00A53C94"/>
    <w:rsid w:val="00A61A92"/>
    <w:rsid w:val="00A71D92"/>
    <w:rsid w:val="00A72A56"/>
    <w:rsid w:val="00A76176"/>
    <w:rsid w:val="00A76C64"/>
    <w:rsid w:val="00A80051"/>
    <w:rsid w:val="00A80709"/>
    <w:rsid w:val="00A83D15"/>
    <w:rsid w:val="00A85B76"/>
    <w:rsid w:val="00A94F58"/>
    <w:rsid w:val="00AB2E2A"/>
    <w:rsid w:val="00AB6A6A"/>
    <w:rsid w:val="00AC1951"/>
    <w:rsid w:val="00AC6269"/>
    <w:rsid w:val="00AD1687"/>
    <w:rsid w:val="00AD3D80"/>
    <w:rsid w:val="00AE03E1"/>
    <w:rsid w:val="00AE095D"/>
    <w:rsid w:val="00AE3E15"/>
    <w:rsid w:val="00AE4B23"/>
    <w:rsid w:val="00AF4204"/>
    <w:rsid w:val="00AF56DD"/>
    <w:rsid w:val="00AF6089"/>
    <w:rsid w:val="00B021F6"/>
    <w:rsid w:val="00B1475E"/>
    <w:rsid w:val="00B15E02"/>
    <w:rsid w:val="00B210B8"/>
    <w:rsid w:val="00B241FD"/>
    <w:rsid w:val="00B26A70"/>
    <w:rsid w:val="00B26CFF"/>
    <w:rsid w:val="00B276CC"/>
    <w:rsid w:val="00B40D95"/>
    <w:rsid w:val="00B438BD"/>
    <w:rsid w:val="00B4470F"/>
    <w:rsid w:val="00B51628"/>
    <w:rsid w:val="00B561A9"/>
    <w:rsid w:val="00B56FF5"/>
    <w:rsid w:val="00B57309"/>
    <w:rsid w:val="00B723FC"/>
    <w:rsid w:val="00B76DC5"/>
    <w:rsid w:val="00B87B6F"/>
    <w:rsid w:val="00B93CD2"/>
    <w:rsid w:val="00B97E2F"/>
    <w:rsid w:val="00BA4257"/>
    <w:rsid w:val="00BA454A"/>
    <w:rsid w:val="00BA77F2"/>
    <w:rsid w:val="00BB5159"/>
    <w:rsid w:val="00BC3F44"/>
    <w:rsid w:val="00BD2ACC"/>
    <w:rsid w:val="00BF3D14"/>
    <w:rsid w:val="00BF7B0C"/>
    <w:rsid w:val="00C02881"/>
    <w:rsid w:val="00C127A6"/>
    <w:rsid w:val="00C346A2"/>
    <w:rsid w:val="00C46410"/>
    <w:rsid w:val="00C56207"/>
    <w:rsid w:val="00C70D46"/>
    <w:rsid w:val="00C81A87"/>
    <w:rsid w:val="00C84325"/>
    <w:rsid w:val="00C870A9"/>
    <w:rsid w:val="00CA2033"/>
    <w:rsid w:val="00CA64CE"/>
    <w:rsid w:val="00CC0A64"/>
    <w:rsid w:val="00CC32B5"/>
    <w:rsid w:val="00CD0F45"/>
    <w:rsid w:val="00CE4E27"/>
    <w:rsid w:val="00CF4EDE"/>
    <w:rsid w:val="00D00FF6"/>
    <w:rsid w:val="00D10216"/>
    <w:rsid w:val="00D15439"/>
    <w:rsid w:val="00D16126"/>
    <w:rsid w:val="00D31A8D"/>
    <w:rsid w:val="00D32E1A"/>
    <w:rsid w:val="00D340FC"/>
    <w:rsid w:val="00D35845"/>
    <w:rsid w:val="00D36777"/>
    <w:rsid w:val="00D559D2"/>
    <w:rsid w:val="00D67918"/>
    <w:rsid w:val="00D8065F"/>
    <w:rsid w:val="00D83EA4"/>
    <w:rsid w:val="00D9039B"/>
    <w:rsid w:val="00D91235"/>
    <w:rsid w:val="00D93CAA"/>
    <w:rsid w:val="00D95078"/>
    <w:rsid w:val="00DB3BCE"/>
    <w:rsid w:val="00DB42F9"/>
    <w:rsid w:val="00DD19B9"/>
    <w:rsid w:val="00DD5EEA"/>
    <w:rsid w:val="00DE2C0E"/>
    <w:rsid w:val="00DF30DB"/>
    <w:rsid w:val="00DF35C7"/>
    <w:rsid w:val="00E057E7"/>
    <w:rsid w:val="00E23D48"/>
    <w:rsid w:val="00E25F0A"/>
    <w:rsid w:val="00E31E21"/>
    <w:rsid w:val="00E321A7"/>
    <w:rsid w:val="00E358F4"/>
    <w:rsid w:val="00E40FE9"/>
    <w:rsid w:val="00E44513"/>
    <w:rsid w:val="00E5077E"/>
    <w:rsid w:val="00E52EA5"/>
    <w:rsid w:val="00E563BA"/>
    <w:rsid w:val="00E569B5"/>
    <w:rsid w:val="00E5756E"/>
    <w:rsid w:val="00E6085E"/>
    <w:rsid w:val="00E6368B"/>
    <w:rsid w:val="00E65CAD"/>
    <w:rsid w:val="00E6614B"/>
    <w:rsid w:val="00E662F9"/>
    <w:rsid w:val="00E76874"/>
    <w:rsid w:val="00E80C5A"/>
    <w:rsid w:val="00E82CB2"/>
    <w:rsid w:val="00E92D26"/>
    <w:rsid w:val="00EA22AB"/>
    <w:rsid w:val="00EA5132"/>
    <w:rsid w:val="00EB1B49"/>
    <w:rsid w:val="00EB3FE0"/>
    <w:rsid w:val="00EB665E"/>
    <w:rsid w:val="00EC059D"/>
    <w:rsid w:val="00EC1F8F"/>
    <w:rsid w:val="00EE361D"/>
    <w:rsid w:val="00EE6CAE"/>
    <w:rsid w:val="00EF18F8"/>
    <w:rsid w:val="00F00A0C"/>
    <w:rsid w:val="00F032E4"/>
    <w:rsid w:val="00F102CD"/>
    <w:rsid w:val="00F2028B"/>
    <w:rsid w:val="00F20C3A"/>
    <w:rsid w:val="00F3027A"/>
    <w:rsid w:val="00F35917"/>
    <w:rsid w:val="00F4114F"/>
    <w:rsid w:val="00F42274"/>
    <w:rsid w:val="00F452F1"/>
    <w:rsid w:val="00F52CFA"/>
    <w:rsid w:val="00F627DD"/>
    <w:rsid w:val="00F67E7A"/>
    <w:rsid w:val="00F72063"/>
    <w:rsid w:val="00F76861"/>
    <w:rsid w:val="00F85A2E"/>
    <w:rsid w:val="00F87C37"/>
    <w:rsid w:val="00F94114"/>
    <w:rsid w:val="00F96041"/>
    <w:rsid w:val="00FA348F"/>
    <w:rsid w:val="00FB3357"/>
    <w:rsid w:val="00FC06B8"/>
    <w:rsid w:val="00FC103B"/>
    <w:rsid w:val="00FC1936"/>
    <w:rsid w:val="00FC64AB"/>
    <w:rsid w:val="00FD35EC"/>
    <w:rsid w:val="00FF0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B73FF"/>
  <w15:chartTrackingRefBased/>
  <w15:docId w15:val="{3E3626AB-E4A7-43D7-9612-ECF7A1E0A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A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6E1"/>
    <w:pPr>
      <w:ind w:left="720"/>
      <w:contextualSpacing/>
    </w:pPr>
  </w:style>
  <w:style w:type="character" w:styleId="Hyperlink">
    <w:name w:val="Hyperlink"/>
    <w:basedOn w:val="DefaultParagraphFont"/>
    <w:uiPriority w:val="99"/>
    <w:unhideWhenUsed/>
    <w:rsid w:val="007377C8"/>
    <w:rPr>
      <w:color w:val="0563C1" w:themeColor="hyperlink"/>
      <w:u w:val="single"/>
    </w:rPr>
  </w:style>
  <w:style w:type="character" w:styleId="UnresolvedMention">
    <w:name w:val="Unresolved Mention"/>
    <w:basedOn w:val="DefaultParagraphFont"/>
    <w:uiPriority w:val="99"/>
    <w:semiHidden/>
    <w:unhideWhenUsed/>
    <w:rsid w:val="007377C8"/>
    <w:rPr>
      <w:color w:val="605E5C"/>
      <w:shd w:val="clear" w:color="auto" w:fill="E1DFDD"/>
    </w:rPr>
  </w:style>
  <w:style w:type="character" w:styleId="CommentReference">
    <w:name w:val="annotation reference"/>
    <w:basedOn w:val="DefaultParagraphFont"/>
    <w:uiPriority w:val="99"/>
    <w:semiHidden/>
    <w:unhideWhenUsed/>
    <w:rsid w:val="004E0B35"/>
    <w:rPr>
      <w:sz w:val="16"/>
      <w:szCs w:val="16"/>
    </w:rPr>
  </w:style>
  <w:style w:type="paragraph" w:styleId="CommentText">
    <w:name w:val="annotation text"/>
    <w:basedOn w:val="Normal"/>
    <w:link w:val="CommentTextChar"/>
    <w:uiPriority w:val="99"/>
    <w:unhideWhenUsed/>
    <w:rsid w:val="004E0B35"/>
    <w:pPr>
      <w:spacing w:line="240" w:lineRule="auto"/>
    </w:pPr>
    <w:rPr>
      <w:sz w:val="20"/>
      <w:szCs w:val="20"/>
    </w:rPr>
  </w:style>
  <w:style w:type="character" w:customStyle="1" w:styleId="CommentTextChar">
    <w:name w:val="Comment Text Char"/>
    <w:basedOn w:val="DefaultParagraphFont"/>
    <w:link w:val="CommentText"/>
    <w:uiPriority w:val="99"/>
    <w:rsid w:val="004E0B35"/>
    <w:rPr>
      <w:sz w:val="20"/>
      <w:szCs w:val="20"/>
    </w:rPr>
  </w:style>
  <w:style w:type="paragraph" w:styleId="CommentSubject">
    <w:name w:val="annotation subject"/>
    <w:basedOn w:val="CommentText"/>
    <w:next w:val="CommentText"/>
    <w:link w:val="CommentSubjectChar"/>
    <w:uiPriority w:val="99"/>
    <w:semiHidden/>
    <w:unhideWhenUsed/>
    <w:rsid w:val="004E0B35"/>
    <w:rPr>
      <w:b/>
      <w:bCs/>
    </w:rPr>
  </w:style>
  <w:style w:type="character" w:customStyle="1" w:styleId="CommentSubjectChar">
    <w:name w:val="Comment Subject Char"/>
    <w:basedOn w:val="CommentTextChar"/>
    <w:link w:val="CommentSubject"/>
    <w:uiPriority w:val="99"/>
    <w:semiHidden/>
    <w:rsid w:val="004E0B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799270">
      <w:bodyDiv w:val="1"/>
      <w:marLeft w:val="0"/>
      <w:marRight w:val="0"/>
      <w:marTop w:val="0"/>
      <w:marBottom w:val="0"/>
      <w:divBdr>
        <w:top w:val="none" w:sz="0" w:space="0" w:color="auto"/>
        <w:left w:val="none" w:sz="0" w:space="0" w:color="auto"/>
        <w:bottom w:val="none" w:sz="0" w:space="0" w:color="auto"/>
        <w:right w:val="none" w:sz="0" w:space="0" w:color="auto"/>
      </w:divBdr>
    </w:div>
    <w:div w:id="119765854">
      <w:bodyDiv w:val="1"/>
      <w:marLeft w:val="0"/>
      <w:marRight w:val="0"/>
      <w:marTop w:val="0"/>
      <w:marBottom w:val="0"/>
      <w:divBdr>
        <w:top w:val="none" w:sz="0" w:space="0" w:color="auto"/>
        <w:left w:val="none" w:sz="0" w:space="0" w:color="auto"/>
        <w:bottom w:val="none" w:sz="0" w:space="0" w:color="auto"/>
        <w:right w:val="none" w:sz="0" w:space="0" w:color="auto"/>
      </w:divBdr>
    </w:div>
    <w:div w:id="818158796">
      <w:bodyDiv w:val="1"/>
      <w:marLeft w:val="0"/>
      <w:marRight w:val="0"/>
      <w:marTop w:val="0"/>
      <w:marBottom w:val="0"/>
      <w:divBdr>
        <w:top w:val="none" w:sz="0" w:space="0" w:color="auto"/>
        <w:left w:val="none" w:sz="0" w:space="0" w:color="auto"/>
        <w:bottom w:val="none" w:sz="0" w:space="0" w:color="auto"/>
        <w:right w:val="none" w:sz="0" w:space="0" w:color="auto"/>
      </w:divBdr>
    </w:div>
    <w:div w:id="1402555991">
      <w:bodyDiv w:val="1"/>
      <w:marLeft w:val="0"/>
      <w:marRight w:val="0"/>
      <w:marTop w:val="0"/>
      <w:marBottom w:val="0"/>
      <w:divBdr>
        <w:top w:val="none" w:sz="0" w:space="0" w:color="auto"/>
        <w:left w:val="none" w:sz="0" w:space="0" w:color="auto"/>
        <w:bottom w:val="none" w:sz="0" w:space="0" w:color="auto"/>
        <w:right w:val="none" w:sz="0" w:space="0" w:color="auto"/>
      </w:divBdr>
    </w:div>
    <w:div w:id="187514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A21158C3526E47A79B10A221402325" ma:contentTypeVersion="11" ma:contentTypeDescription="Create a new document." ma:contentTypeScope="" ma:versionID="2d79687d913b85649a71ba585efcd131">
  <xsd:schema xmlns:xsd="http://www.w3.org/2001/XMLSchema" xmlns:xs="http://www.w3.org/2001/XMLSchema" xmlns:p="http://schemas.microsoft.com/office/2006/metadata/properties" xmlns:ns3="5dc39ca3-bbc3-4294-ac6a-7d096e769177" xmlns:ns4="d980e7e0-a08a-4a69-b5b2-2e9e622e464f" targetNamespace="http://schemas.microsoft.com/office/2006/metadata/properties" ma:root="true" ma:fieldsID="14830c72a7551369af4660092d659fc8" ns3:_="" ns4:_="">
    <xsd:import namespace="5dc39ca3-bbc3-4294-ac6a-7d096e769177"/>
    <xsd:import namespace="d980e7e0-a08a-4a69-b5b2-2e9e622e464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39ca3-bbc3-4294-ac6a-7d096e769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80e7e0-a08a-4a69-b5b2-2e9e622e46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B17DA7-C22C-4FC2-8897-90A54E5D0382}">
  <ds:schemaRefs>
    <ds:schemaRef ds:uri="http://schemas.microsoft.com/sharepoint/v3/contenttype/forms"/>
  </ds:schemaRefs>
</ds:datastoreItem>
</file>

<file path=customXml/itemProps2.xml><?xml version="1.0" encoding="utf-8"?>
<ds:datastoreItem xmlns:ds="http://schemas.openxmlformats.org/officeDocument/2006/customXml" ds:itemID="{0BDB47A0-5FCE-494B-9521-7620D534DB2F}">
  <ds:schemaRefs>
    <ds:schemaRef ds:uri="http://schemas.microsoft.com/office/infopath/2007/PartnerControls"/>
    <ds:schemaRef ds:uri="d980e7e0-a08a-4a69-b5b2-2e9e622e464f"/>
    <ds:schemaRef ds:uri="http://purl.org/dc/dcmitype/"/>
    <ds:schemaRef ds:uri="http://schemas.microsoft.com/office/2006/metadata/properties"/>
    <ds:schemaRef ds:uri="5dc39ca3-bbc3-4294-ac6a-7d096e769177"/>
    <ds:schemaRef ds:uri="http://purl.org/dc/elements/1.1/"/>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19FF036-C60A-4D54-941B-F559BDC73225}">
  <ds:schemaRefs>
    <ds:schemaRef ds:uri="http://schemas.openxmlformats.org/officeDocument/2006/bibliography"/>
  </ds:schemaRefs>
</ds:datastoreItem>
</file>

<file path=customXml/itemProps4.xml><?xml version="1.0" encoding="utf-8"?>
<ds:datastoreItem xmlns:ds="http://schemas.openxmlformats.org/officeDocument/2006/customXml" ds:itemID="{51BD4A3F-6C93-4688-A620-DAF94EF55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39ca3-bbc3-4294-ac6a-7d096e769177"/>
    <ds:schemaRef ds:uri="d980e7e0-a08a-4a69-b5b2-2e9e622e46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7785</Words>
  <Characters>44379</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Panagiotidis (Doctoral Researcher)</dc:creator>
  <cp:keywords/>
  <dc:description/>
  <cp:lastModifiedBy>Konstantinos Panagiotidis (Doctoral Researcher)</cp:lastModifiedBy>
  <cp:revision>4</cp:revision>
  <dcterms:created xsi:type="dcterms:W3CDTF">2021-07-12T16:57:00Z</dcterms:created>
  <dcterms:modified xsi:type="dcterms:W3CDTF">2021-07-14T11:08:00Z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0x0101000CA21158C3526E47A79B10A221402325</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 11th edition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7th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 6th edition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Document_1">
    <vt:lpwstr>True</vt:lpwstr>
  </property>
  <property fmtid="{D5CDD505-2E9C-101B-9397-08002B2CF9AE}" pid="24" name="Mendeley Unique User Id_1">
    <vt:lpwstr>276b5893-f6cf-3b73-beda-41fd841dc354</vt:lpwstr>
  </property>
  <property fmtid="{D5CDD505-2E9C-101B-9397-08002B2CF9AE}" pid="25" name="Mendeley Citation Style_1">
    <vt:lpwstr>http://www.zotero.org/styles/apa</vt:lpwstr>
  </property>
</Properties>
</file>